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بيكم أو آمنة خاتون
</w:t>
      </w:r>
    </w:p>
    <w:p>
      <w:pPr>
        <w:jc w:val="start"/>
        <w:bidi/>
      </w:pPr>
      <w:r>
        <w:rPr>
          <w:rFonts w:ascii="arial" w:hAnsi="arial" w:eastAsia="arial" w:cs="arial"/>
          <w:sz w:val="28"/>
          <w:szCs w:val="28"/>
          <w:b w:val="1"/>
          <w:bCs w:val="1"/>
          <w:rtl/>
        </w:rPr>
        <w:t xml:space="preserve">آمنة بيكم أو آمنة خاتون
</w:t>
      </w:r>
    </w:p>
    <w:p>
      <w:pPr/>
      <w:r>
        <w:rPr/>
        <w:t xml:space="preserve">آمنة بيكم أو آمنة خاتون بنت المولى محمد تقي المجلسي الأول وأخت المولى محمد باقر المجلسي الثاني.</w:t>
      </w:r>
    </w:p>
    <w:p/>
    <w:p>
      <w:pPr/>
      <w:r>
        <w:rPr/>
        <w:t xml:space="preserve">كانت عالمة فاضلة تقية تزوجها المولى محمد صالح المازندراني صاحب حاشية المعالم فولدت له الآقا هادي والآقا نور الدين محمد.</w:t>
      </w:r>
    </w:p>
    <w:p/>
    <w:p>
      <w:pPr/>
      <w:r>
        <w:rPr/>
        <w:t xml:space="preserve">وفي رياض العلماء آمنة خاتون بنت المولى محمد تقي المجلسي فاضلة عالمة صالحة متقية كانت تحت المولى صالح المازدراني وسمعنا أن زوجها مع غاية فضله كان يسألها عن حل بعض عبارات قواعد العلامة ’’انتهى’’.</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2026-06-06T15:18:25+03:00</dcterms:created>
  <dcterms:modified xsi:type="dcterms:W3CDTF">2026-06-06T15:18:25+03:00</dcterms:modified>
</cp:coreProperties>
</file>

<file path=docProps/custom.xml><?xml version="1.0" encoding="utf-8"?>
<Properties xmlns="http://schemas.openxmlformats.org/officeDocument/2006/custom-properties" xmlns:vt="http://schemas.openxmlformats.org/officeDocument/2006/docPropsVTypes"/>
</file>