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
</w:t>
      </w:r>
    </w:p>
    <w:p>
      <w:pPr/>
      <w:r>
        <w:rPr/>
        <w:t xml:space="preserve">الآبي صاعد بن محمد بن صاعد البريدي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أشرف الدين صاعد بن محمد
</w:t>
      </w:r>
    </w:p>
    <w:p>
      <w:pPr/>
      <w:r>
        <w:rPr/>
        <w:t xml:space="preserve">القاضي أشرف الدين صاعد بن محمد ابن صاعد البريدي الآبي</w:t>
      </w:r>
    </w:p>
    <w:p/>
    <w:p>
      <w:pPr/>
      <w:r>
        <w:rPr/>
        <w:t xml:space="preserve">فاضل متبحر له تصانيف منها:</w:t>
      </w:r>
    </w:p>
    <w:p/>
    <w:p>
      <w:pPr/>
      <w:r>
        <w:rPr/>
        <w:t xml:space="preserve">عفو الحقائق، الإغراب في الإعراب، الحدود الحقائق، بيان الشرائع، نهج الصواب، معيار المعاني، كتاب في الإمامة، ونقضه ونقض نقضه.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2026-06-06T16:14:58+03:00</dcterms:created>
  <dcterms:modified xsi:type="dcterms:W3CDTF">2026-06-06T16:14:58+03:00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