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أحمد، أبو العباس الأديب الكرجي
</w:t>
      </w:r>
    </w:p>
    <w:p>
      <w:pPr>
        <w:jc w:val="start"/>
        <w:bidi/>
      </w:pPr>
      <w:r>
        <w:rPr>
          <w:rFonts w:ascii="arial" w:hAnsi="arial" w:eastAsia="arial" w:cs="arial"/>
          <w:sz w:val="28"/>
          <w:szCs w:val="28"/>
          <w:b w:val="1"/>
          <w:bCs w:val="1"/>
          <w:rtl/>
        </w:rPr>
        <w:t xml:space="preserve">محمد بن علي بن أحمد، أبو العباس الأديب الكرجي
</w:t>
      </w:r>
    </w:p>
    <w:p>
      <w:pPr/>
      <w:r>
        <w:rPr/>
        <w:t xml:space="preserve">بالجيم. نزيل نيسابور.</w:t>
      </w:r>
    </w:p>
    <w:p/>
    <w:p/>
    <w:p>
      <w:pPr/>
      <w:r>
        <w:rPr/>
        <w:t xml:space="preserve">أحد الأدباء العلماء الزهاد، تفقه على أبي عبد الله الزبيري بالبصرة، ولقي أبا محمد القتبي، وأخذ عنه.</w:t>
      </w:r>
    </w:p>
    <w:p/>
    <w:p/>
    <w:p>
      <w:pPr/>
      <w:r>
        <w:rPr/>
        <w:t xml:space="preserve">وكان عالما بالفرائض، أحد المؤدبين بنيسابور، مقدما في التأديب، وممن تأدب عليه أبو عبد الله الحافظ وذكره في “تاريخه”، وحكى عنه أورادا نهارية جليلة، من صلاة وقراءة، قد كان يعانيها مع شغل التأديب.</w:t>
      </w:r>
    </w:p>
    <w:p/>
    <w:p/>
    <w:p>
      <w:pPr/>
      <w:r>
        <w:rPr/>
        <w:t xml:space="preserve">وذكر أنه اختلف إليه أربع سنين، فما رآه أفطر إلا في يومي العيد وأيام التشريق، وكان يتعمم حنبليا، ويرجبها خلف ظهره، ويرتدي على السنة.</w:t>
      </w:r>
    </w:p>
    <w:p/>
    <w:p/>
    <w:p>
      <w:pPr/>
      <w:r>
        <w:rPr/>
        <w:t xml:space="preserve">سمع الحديث من: أبي خليفة، وعبدان الأهوازي، وأقرانهما.</w:t>
      </w:r>
    </w:p>
    <w:p/>
    <w:p/>
    <w:p>
      <w:pPr/>
      <w:r>
        <w:rPr/>
        <w:t xml:space="preserve">روى عنه الحاكم، وسمع منه “ مختصر “ أبي عبد الله الزبيري، عنه.</w:t>
      </w:r>
    </w:p>
    <w:p/>
    <w:p/>
    <w:p>
      <w:pPr/>
      <w:r>
        <w:rPr/>
        <w:t xml:space="preserve">توفي في ذي الحجة سنة ثلاث وأربعين وثلاث مئة.</w:t>
      </w:r>
    </w:p>
    <w:p>
      <w:pPr>
        <w:jc w:val="start"/>
        <w:bidi/>
      </w:pPr>
      <w:r>
        <w:rPr>
          <w:sz w:val="24"/>
          <w:szCs w:val="24"/>
          <w:b w:val="1"/>
          <w:bCs w:val="1"/>
          <w:rtl/>
        </w:rPr>
        <w:t xml:space="preserve">
طبقات الفقهاء الشافعية،(دار البشائر الإسلامية - بيروت،1992،ط 1،ج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2026-07-27T11:34:43+03:00</dcterms:created>
  <dcterms:modified xsi:type="dcterms:W3CDTF">2026-07-27T11:34:43+03:00</dcterms:modified>
</cp:coreProperties>
</file>

<file path=docProps/custom.xml><?xml version="1.0" encoding="utf-8"?>
<Properties xmlns="http://schemas.openxmlformats.org/officeDocument/2006/custom-properties" xmlns:vt="http://schemas.openxmlformats.org/officeDocument/2006/docPropsVTypes"/>
</file>