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الحسين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الحسين اليزدي
</w:t>
      </w:r>
    </w:p>
    <w:p>
      <w:pPr/>
      <w:r>
        <w:rPr/>
        <w:t xml:space="preserve">مطهر بن الحسين اليزدي ومطهر بن الحسين بن سعد بن علي بن بنداراليزدي.</w:t>
      </w:r>
    </w:p>
    <w:p/>
    <w:p>
      <w:pPr/>
      <w:r>
        <w:rPr/>
        <w:t xml:space="preserve">له شرح القدوري سماه ’’اللباب’’واختصر ’’النوادر’’ لأبي الليث وسماه ’’الخلاصة’’.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2026-06-06T20:44:49+03:00</dcterms:created>
  <dcterms:modified xsi:type="dcterms:W3CDTF">2026-06-06T20:44:49+03:00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