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محمد بن عمار بن ياسر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محمد بن عمار بن ياسر
</w:t>
      </w:r>
    </w:p>
    <w:p>
      <w:pPr/>
      <w:r>
        <w:rPr/>
        <w:t xml:space="preserve">عمار بن محمد بن عمار بن ياسر روى عن أبيه وروى عنه ابنه محمد</w:t>
      </w:r>
    </w:p>
    <w:p/>
    <w:p>
      <w:pPr/>
      <w:r>
        <w:rPr/>
        <w:t xml:space="preserve">له حديث واحد في فضل الصلاة بين المغرب والعشاء</w:t>
      </w:r>
    </w:p>
    <w:p/>
    <w:p>
      <w:pPr/>
      <w:r>
        <w:rPr/>
        <w:t xml:space="preserve">أشار ابن الجوزي في العلل إلى تجهيله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2026-07-27T09:13:13+03:00</dcterms:created>
  <dcterms:modified xsi:type="dcterms:W3CDTF">2026-07-27T09:13:13+03:00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