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شعران أو سفران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شعران أو سفران
</w:t>
      </w:r>
    </w:p>
    <w:p>
      <w:pPr/>
      <w:r>
        <w:rPr/>
        <w:t xml:space="preserve">عبد الله بن شعران أو سفران من أهل الموصل قدم مصر وحدث</w:t>
      </w:r>
    </w:p>
    <w:p/>
    <w:p>
      <w:pPr/>
      <w:r>
        <w:rPr/>
        <w:t xml:space="preserve">قال ابن يونس لا أعرفه قال وقيل إنه توفي بمصر سنة ثلاث وسبعين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2026-07-27T13:40:38+03:00</dcterms:created>
  <dcterms:modified xsi:type="dcterms:W3CDTF">2026-07-27T13:40:38+03:00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