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عثمان، ابن الحريري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عثمان، ابن الحريري
</w:t>
      </w:r>
    </w:p>
    <w:p>
      <w:pPr/>
      <w:r>
        <w:rPr/>
        <w:t xml:space="preserve">محمد بن عثمان، ابن الحريري ومحمد بن عثمان بن عبدالوهاب، أبو عبدالله، ابن الحريري.</w:t>
      </w:r>
    </w:p>
    <w:p/>
    <w:p>
      <w:pPr/>
      <w:r>
        <w:rPr/>
        <w:t xml:space="preserve">تفقه على عمادالدين بن الشماع، ورشيدالدين سعيد.</w:t>
      </w:r>
    </w:p>
    <w:p/>
    <w:p>
      <w:pPr/>
      <w:r>
        <w:rPr/>
        <w:t xml:space="preserve">وتفقه عنه جماعة.</w:t>
      </w:r>
    </w:p>
    <w:p/>
    <w:p>
      <w:pPr/>
      <w:r>
        <w:rPr/>
        <w:t xml:space="preserve">وولي القضاء بمصر والشام.</w:t>
      </w:r>
    </w:p>
    <w:p/>
    <w:p>
      <w:pPr/>
      <w:r>
        <w:rPr/>
        <w:t xml:space="preserve">وشرح محفوظه في عدة مجلدات. وله تعاليق ومسودات.</w:t>
      </w:r>
    </w:p>
    <w:p/>
    <w:p>
      <w:pPr/>
      <w:r>
        <w:rPr/>
        <w:t xml:space="preserve">توفي سنة ثمان وعشرين وسبعمائة.</w:t>
      </w:r>
    </w:p>
    <w:p/>
    <w:p>
      <w:pPr/>
      <w:r>
        <w:rPr/>
        <w:t xml:space="preserve">وعزل في أثناء مدته لأجل الاستبدال، ومات ولم يحكم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2026-06-13T12:25:42+03:00</dcterms:created>
  <dcterms:modified xsi:type="dcterms:W3CDTF">2026-06-13T12:25:42+03:00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