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سويد بن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بن حيان
</w:t>
      </w:r>
    </w:p>
    <w:p>
      <w:pPr/>
      <w:r>
        <w:rPr/>
        <w:t xml:space="preserve">إبراهيم بن سويد بن حيان  عن عمرو بن أبي عمرو وطبقته</w:t>
      </w:r>
    </w:p>
    <w:p/>
    <w:p>
      <w:pPr/>
      <w:r>
        <w:rPr/>
        <w:t xml:space="preserve">وعنه ابن وهب وسعيد بن أبي مريم</w:t>
      </w:r>
    </w:p>
    <w:p/>
    <w:p>
      <w:pPr/>
      <w:r>
        <w:rPr/>
        <w:t xml:space="preserve">قال ابن حبان في الثقات ربما أتى بمناكير</w:t>
      </w:r>
    </w:p>
    <w:p/>
    <w:p>
      <w:pPr/>
      <w:r>
        <w:rPr/>
        <w:t xml:space="preserve">وقال ابن معين ثقة</w:t>
      </w:r>
    </w:p>
    <w:p/>
    <w:p>
      <w:pPr/>
      <w:r>
        <w:rPr/>
        <w:t xml:space="preserve">وقال أبو زرعة ليس به بأس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سويد بن حيان المدني.
</w:t>
      </w:r>
    </w:p>
    <w:p>
      <w:pPr/>
      <w:r>
        <w:rPr/>
        <w:t xml:space="preserve">(خ د) إبراهيم بن سويد بن حيان المدني. </w:t>
      </w:r>
    </w:p>
    <w:p/>
    <w:p>
      <w:pPr/>
      <w:r>
        <w:rPr/>
        <w:t xml:space="preserve">قال البستي لم يذكره في كتاب ’’ الثقات ’’: ربما أتى بمناكير.</w:t>
      </w:r>
    </w:p>
    <w:p/>
    <w:p>
      <w:pPr/>
      <w:r>
        <w:rPr/>
        <w:t xml:space="preserve">وفي كتاب ’’ التعديل والتجريح ’’ للباجي: قد أخرج مسلم عن إبراهيم بن سويد وهو غير هذا، ذاك النخعي، قال: وقد ذكر أبو عبد الله الحاكم: إبراهيم بن سويد فيمن اتفقا عليه، وأراه النخعي، وقد ذكر النخعي بعد ذلك فيمن تفرد مسلم فظن في بعض المواضع أنه المدني.</w:t>
      </w:r>
    </w:p>
    <w:p/>
    <w:p>
      <w:pPr/>
      <w:r>
        <w:rPr/>
        <w:t xml:space="preserve">وقال ابن خلفون: غمزه بعضهم.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2026-07-27T17:45:22+03:00</dcterms:created>
  <dcterms:modified xsi:type="dcterms:W3CDTF">2026-07-27T17:45:22+03:00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