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أحمدالبخاري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أحمدالبخاري
</w:t>
      </w:r>
    </w:p>
    <w:p>
      <w:pPr/>
      <w:r>
        <w:rPr/>
        <w:t xml:space="preserve">عبد العزيز بن أحمدالبخاري عبد العزيز بن أحمد بن محمد البخاري.</w:t>
      </w:r>
    </w:p>
    <w:p/>
    <w:p>
      <w:pPr/>
      <w:r>
        <w:rPr/>
        <w:t xml:space="preserve">له شرح البزدوي، وشرح الاخسيكثي وشرح الهداية إلى النكاح، ومات.</w:t>
      </w:r>
    </w:p>
    <w:p/>
    <w:p>
      <w:pPr/>
      <w:r>
        <w:rPr/>
        <w:t xml:space="preserve">قلت: تفقه على الإمام محمد المايمرغي.</w:t>
      </w:r>
    </w:p>
    <w:p/>
    <w:p>
      <w:pPr/>
      <w:r>
        <w:rPr/>
        <w:t xml:space="preserve">وكان وضعه لشرح الهداية المذكور بسؤال القوام الكاكي.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2026-06-13T15:59:43+03:00</dcterms:created>
  <dcterms:modified xsi:type="dcterms:W3CDTF">2026-06-13T15:59:43+03:00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