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عمر، ابن العديم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عمر، ابن العديم
</w:t>
      </w:r>
    </w:p>
    <w:p>
      <w:pPr/>
      <w:r>
        <w:rPr/>
        <w:t xml:space="preserve">عبد الرحمن بن عمر، ابن العديم عبد الرحمن بن عمر بن أبي جرادة، الصاحب، أبو المجد، مجد الدين.</w:t>
      </w:r>
    </w:p>
    <w:p/>
    <w:p>
      <w:pPr/>
      <w:r>
        <w:rPr/>
        <w:t xml:space="preserve">ولد سنة أربع عشرة وستمائة.</w:t>
      </w:r>
    </w:p>
    <w:p/>
    <w:p>
      <w:pPr/>
      <w:r>
        <w:rPr/>
        <w:t xml:space="preserve">خرج له أبو العباس الظاهري معجما في عشرة أجزاء، وحدث به.</w:t>
      </w:r>
    </w:p>
    <w:p/>
    <w:p>
      <w:pPr/>
      <w:r>
        <w:rPr/>
        <w:t xml:space="preserve">وانتهت إليه رئاسة الحنفية في وقته.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2026-07-27T13:24:14+03:00</dcterms:created>
  <dcterms:modified xsi:type="dcterms:W3CDTF">2026-07-27T13:24:14+03:00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