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
</w:t>
      </w:r>
    </w:p>
    <w:p>
      <w:pPr/>
      <w:r>
        <w:rPr/>
        <w:t xml:space="preserve">أبو خالد [د] مولى لآل جعدة بن هبيرة.</w:t>
      </w:r>
    </w:p>
    <w:p/>
    <w:p>
      <w:pPr/>
      <w:r>
        <w:rPr/>
        <w:t xml:space="preserve">له عن أبي هريرة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خالد، مولى آل جعدة بن هبيرة
</w:t>
      </w:r>
    </w:p>
    <w:p>
      <w:pPr/>
      <w:r>
        <w:rPr/>
        <w:t xml:space="preserve">أبو خالد، مولى آل جعدة بن هبيرة: لا يعرف.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مولى جعدة
</w:t>
      </w:r>
    </w:p>
    <w:p>
      <w:pPr/>
      <w:r>
        <w:rPr/>
        <w:t xml:space="preserve">أبو خالد مولى جعدة </w:t>
      </w:r>
    </w:p>
    <w:p/>
    <w:p>
      <w:pPr/>
      <w:r>
        <w:rPr/>
        <w:t xml:space="preserve">عن أبي هريرة وعنه أبو خالد الدالاني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2026-07-27T09:33:07+03:00</dcterms:created>
  <dcterms:modified xsi:type="dcterms:W3CDTF">2026-07-27T09:33:07+03:00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