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محمد
</w:t>
      </w:r>
    </w:p>
    <w:p>
      <w:pPr/>
      <w:r>
        <w:rPr/>
        <w:t xml:space="preserve">يعقوب بن محمد. عن هشام بن عروة.</w:t>
      </w:r>
    </w:p>
    <w:p/>
    <w:p>
      <w:pPr/>
      <w:r>
        <w:rPr/>
        <w:t xml:space="preserve">ليس بالمشهور.</w:t>
      </w:r>
    </w:p>
    <w:p/>
    <w:p>
      <w:pPr/>
      <w:r>
        <w:rPr/>
        <w:t xml:space="preserve">وقد ضعفه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محمد
</w:t>
      </w:r>
    </w:p>
    <w:p>
      <w:pPr/>
      <w:r>
        <w:rPr/>
        <w:t xml:space="preserve">يعقوب بن محمد </w:t>
      </w:r>
    </w:p>
    <w:p/>
    <w:p>
      <w:pPr/>
      <w:r>
        <w:rPr/>
        <w:t xml:space="preserve">روى عن هشام بن عروة روى عنه محمد بن عبادة. نا عبد الرحمن قال سئل أبو زرعة عنه فقال هو شيخ ضعيف.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2026-07-27T10:29:38+03:00</dcterms:created>
  <dcterms:modified xsi:type="dcterms:W3CDTF">2026-07-27T10:29:38+03:00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