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ابن البرهان
</w:t>
      </w:r>
    </w:p>
    <w:p>
      <w:pPr>
        <w:jc w:val="start"/>
        <w:bidi/>
      </w:pPr>
      <w:r>
        <w:rPr>
          <w:rFonts w:ascii="arial" w:hAnsi="arial" w:eastAsia="arial" w:cs="arial"/>
          <w:sz w:val="28"/>
          <w:szCs w:val="28"/>
          <w:b w:val="1"/>
          <w:bCs w:val="1"/>
          <w:rtl/>
        </w:rPr>
        <w:t xml:space="preserve">أحمد بن إبراهيم، ابن البرهان
</w:t>
      </w:r>
    </w:p>
    <w:p>
      <w:pPr/>
      <w:r>
        <w:rPr/>
        <w:t xml:space="preserve">أحمد بن إبراهيم، ابن البرهان وأحمد بن إبراهيم بن داود المقري الحلبي شهاب الدين بن أبو العباس المعروف بابن البرهان كان فقيها فاضلا له مشاركة في علوم عديدة ومصنفات مفيدة شرح الجامع الكبير فانتفع به الصغير والكبير وكانت وفاته سادس عشر رجب سنة ثمان وثلاثين وسبعمائة.</w:t>
      </w:r>
    </w:p>
    <w:p>
      <w:pPr>
        <w:jc w:val="start"/>
        <w:bidi/>
      </w:pPr>
      <w:r>
        <w:rPr>
          <w:sz w:val="24"/>
          <w:szCs w:val="24"/>
          <w:b w:val="1"/>
          <w:bCs w:val="1"/>
          <w:rtl/>
        </w:rPr>
        <w:t xml:space="preserve">
تاج التراجم في طبقات الحنفية،(دار القلم - دمشق،1992،ط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2026-06-13T21:56:34+03:00</dcterms:created>
  <dcterms:modified xsi:type="dcterms:W3CDTF">2026-06-13T21:56:34+03:00</dcterms:modified>
</cp:coreProperties>
</file>

<file path=docProps/custom.xml><?xml version="1.0" encoding="utf-8"?>
<Properties xmlns="http://schemas.openxmlformats.org/officeDocument/2006/custom-properties" xmlns:vt="http://schemas.openxmlformats.org/officeDocument/2006/docPropsVTypes"/>
</file>