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جعونة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جعونة
</w:t>
      </w:r>
    </w:p>
    <w:p>
      <w:pPr/>
      <w:r>
        <w:rPr/>
        <w:t xml:space="preserve">نوح بن جعونة. أجوز أن يكون نوح بن أبي مريم.</w:t>
      </w:r>
    </w:p>
    <w:p/>
    <w:p>
      <w:pPr/>
      <w:r>
        <w:rPr/>
        <w:t xml:space="preserve">أتى بخبر منكر، ففى مسند الشهاب القضاعى: أخبرنا ابن النحاس، حدثنا ابن الأعرابي، حدثنا أبويحيى بن أبي مسرة، حدثنا المقرئ، حدثنا نوح بن جعونة، عن مقاتل ابن حيان، عن عطاء بن أبي رباح، عن ابن عباس، قال: سمعت النبي صلى الله</w:t>
      </w:r>
    </w:p>
    <w:p/>
    <w:p>
      <w:pPr/>
      <w:r>
        <w:rPr/>
        <w:t xml:space="preserve">عليه وسلم يقول.</w:t>
      </w:r>
    </w:p>
    <w:p/>
    <w:p>
      <w:pPr/>
      <w:r>
        <w:rPr/>
        <w:t xml:space="preserve">ألا إن عمل أهل الجنة حزن بربوة، وعمل أهل النار سهل</w:t>
      </w:r>
    </w:p>
    <w:p/>
    <w:p>
      <w:pPr/>
      <w:r>
        <w:rPr/>
        <w:t xml:space="preserve">بسهوة.</w:t>
      </w:r>
    </w:p>
    <w:p/>
    <w:p>
      <w:pPr/>
      <w:r>
        <w:rPr/>
        <w:t xml:space="preserve">وذكر الحديث بطوله.</w:t>
      </w:r>
    </w:p>
    <w:p/>
    <w:p>
      <w:pPr/>
      <w:r>
        <w:rPr/>
        <w:t xml:space="preserve">فالآفة نوح.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جعونة السلمي
</w:t>
      </w:r>
    </w:p>
    <w:p>
      <w:pPr/>
      <w:r>
        <w:rPr/>
        <w:t xml:space="preserve">نوح بن جعونة السلمي </w:t>
      </w:r>
    </w:p>
    <w:p/>
    <w:p>
      <w:pPr/>
      <w:r>
        <w:rPr/>
        <w:t xml:space="preserve">روى عن مقاتل بن حيان روى عنه أبو عبد الرحمن المقري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2026-07-27T13:37:11+03:00</dcterms:created>
  <dcterms:modified xsi:type="dcterms:W3CDTF">2026-07-27T13:37:11+03:00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