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المؤذن
</w:t>
      </w:r>
    </w:p>
    <w:p>
      <w:pPr>
        <w:jc w:val="start"/>
        <w:bidi/>
      </w:pPr>
      <w:r>
        <w:rPr>
          <w:rFonts w:ascii="arial" w:hAnsi="arial" w:eastAsia="arial" w:cs="arial"/>
          <w:sz w:val="28"/>
          <w:szCs w:val="28"/>
          <w:b w:val="1"/>
          <w:bCs w:val="1"/>
          <w:rtl/>
        </w:rPr>
        <w:t xml:space="preserve">إبراهيم بن محمد المؤذن
</w:t>
      </w:r>
    </w:p>
    <w:p>
      <w:pPr/>
      <w:r>
        <w:rPr/>
        <w:t xml:space="preserve">إبراهيم بن محمد المؤذن إبراهيم بن محمد بن حيدر، أبو إسحاق، المؤذن، الخوارزمي.</w:t>
      </w:r>
    </w:p>
    <w:p/>
    <w:p>
      <w:pPr/>
      <w:r>
        <w:rPr/>
        <w:t xml:space="preserve">مولده سنة تسع وخمسين وخمسمائة في شهر (ذي) الحجة.</w:t>
      </w:r>
    </w:p>
    <w:p/>
    <w:p>
      <w:pPr/>
      <w:r>
        <w:rPr/>
        <w:t xml:space="preserve">ذكره أبو بكر المبارك بن الشعار فقال: جليل القدر، كثير المحفوظ، متقن في علوم الإسلام والشريعة، إمام في الفقه، والفرائض، وعلم التفسير، والحديث، والأصول، والكلام، مع معرفته بالنحو واللغة والأدب. وكان له اعتناء بتصانيف الزمخشري، كثير الميل إليها.</w:t>
      </w:r>
    </w:p>
    <w:p/>
    <w:p>
      <w:pPr/>
      <w:r>
        <w:rPr/>
        <w:t xml:space="preserve">وذكر له تصانيف.</w:t>
      </w:r>
    </w:p>
    <w:p>
      <w:pPr>
        <w:jc w:val="start"/>
        <w:bidi/>
      </w:pPr>
      <w:r>
        <w:rPr>
          <w:sz w:val="24"/>
          <w:szCs w:val="24"/>
          <w:b w:val="1"/>
          <w:bCs w:val="1"/>
          <w:rtl/>
        </w:rPr>
        <w:t xml:space="preserve">
تاج التراجم في طبقات الحنفية،(دار القلم - دمشق،1992،ط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المؤذبي
</w:t>
      </w:r>
    </w:p>
    <w:p>
      <w:pPr/>
      <w:r>
        <w:rPr/>
        <w:t xml:space="preserve">النظام المؤذبي إبراهيم بن محمد بن حيدر بن علي نظام الدين أبو إسحاق المؤذبي الخوارزمي، قال ياقوت: سألته عن مولده فقال: في ذي الحجة سنة تسع وخمسين وخمس مائة، وله تصانيف: كتاب ديوان الأنبياء، شرح كليلة بالفارسية، الوسائل إلى الرسائل من نثره. ديوان شعره بالفارسية. الخطب في دعوات ختم القرآن سماه يتيمة اليتيمة. الطرفة في التحفة بالفارسية رسائل. أساس نامه في المواعظ بالفارسية. تعريف شواهد التصريف. أنموذار نامه يشتمل على أبيات غريبة من كليلة ودمنة شرحها بالفارسية. كفتار نامه منطق، مرتع الوسائل ومربع الرسائل.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حيدر بن علي
</w:t>
      </w:r>
    </w:p>
    <w:p>
      <w:pPr/>
      <w:r>
        <w:rPr/>
        <w:t xml:space="preserve">إبراهيم بن محمد بن حيدر بن علي أبو إسحاق نظام الدين المؤذن الخوارزمي: سألته عن مولده فقال: كانت ولادتي في ذي الحجة سنة تسع وخمسين وخمسمائة وله من التصانيف: كتاب ديوان الانشاء. كتاب شرح كليلة بالفارسية.</w:t>
      </w:r>
    </w:p>
    <w:p/>
    <w:p>
      <w:pPr/>
      <w:r>
        <w:rPr/>
        <w:t xml:space="preserve">كتاب الوسائل إلى الرسائل من نثره. كتاب ديوان شعره بالعربية. كتاب ديوان شعره بالفارسية. كتاب الخطب في دعوات ختم القرآن سماه يتيمة اليتيمة. كتاب الطرفة في التحفة بالفارسية. رسائل. وكتاب أساس نامه في المواعظ بالفارسية. كتاب تعريف شواهد التصريف. كتاب انموذار نامه يشتمل على أبيات غريبة من كليلة ودمنة شرحها بالفارسية. كتاب كفتار نامه منطق. كتاب مرتع الوسائل ومربع الرسائل.</w:t>
      </w:r>
    </w:p>
    <w:p>
      <w:pPr>
        <w:jc w:val="start"/>
        <w:bidi/>
      </w:pPr>
      <w:r>
        <w:rPr>
          <w:sz w:val="24"/>
          <w:szCs w:val="24"/>
          <w:b w:val="1"/>
          <w:bCs w:val="1"/>
          <w:rtl/>
        </w:rPr>
        <w:t xml:space="preserve">
معجم الأدباء / إرشاد الأريب إلى معرفة الأديب،(دار الغرب الإسلامي - بيروت،1993،ط 0،ج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حيدر بن علي، أبو إسحاق المودني، الخوارزمي
</w:t>
      </w:r>
    </w:p>
    <w:p>
      <w:pPr/>
      <w:r>
        <w:rPr/>
        <w:t xml:space="preserve">إبراهيم بن محمد بن حيدر بن علي، أبو إسحاق المودني، الخوارزمي أحد علماء أصحاب أبي حنيفة في وقته.</w:t>
      </w:r>
    </w:p>
    <w:p/>
    <w:p>
      <w:pPr/>
      <w:r>
        <w:rPr/>
        <w:t xml:space="preserve">ولد في ذي الحجة، سنة تسع وخمسين وخمسمائة.</w:t>
      </w:r>
    </w:p>
    <w:p/>
    <w:p>
      <w:pPr/>
      <w:r>
        <w:rPr/>
        <w:t xml:space="preserve">ذكره أبو بكر بن المبارك بن الشعار، فقال: جليل القدر، كثير المحفوظ، متقن في علوم الإسلام والشريعة، إمام في الفقه، والفرائض، وعلم التفسير، والحديث، والأصل، والكلام، مع معرفة النجوم، واللغة، والأدب.</w:t>
      </w:r>
    </w:p>
    <w:p/>
    <w:p>
      <w:pPr/>
      <w:r>
        <w:rPr/>
        <w:t xml:space="preserve">وكان له اعتناء بتصانيف الزمخشري، كثير الميل إليها.</w:t>
      </w:r>
    </w:p>
    <w:p/>
    <w:p>
      <w:pPr/>
      <w:r>
        <w:rPr/>
        <w:t xml:space="preserve">وذكر له تصانيف.</w:t>
      </w:r>
    </w:p>
    <w:p>
      <w:pPr>
        <w:jc w:val="start"/>
        <w:bidi/>
      </w:pPr>
      <w:r>
        <w:rPr>
          <w:sz w:val="24"/>
          <w:szCs w:val="24"/>
          <w:b w:val="1"/>
          <w:bCs w:val="1"/>
          <w:rtl/>
        </w:rPr>
        <w:t xml:space="preserve">
الطبقات السنية في تراجم الحنفية،(دار الرفاعي - الرياض،1983،ط 0،ج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حيدر بن علي بن إسحاق الخوارزمي 
</w:t>
      </w:r>
    </w:p>
    <w:p>
      <w:pPr/>
      <w:r>
        <w:rPr/>
        <w:t xml:space="preserve">إبراهيم بن محمد بن حيدر بن عليّ بن إسحاق الخوارزميّ، المعروف بالنظام المؤذّن. </w:t>
      </w:r>
    </w:p>
    <w:p/>
    <w:p>
      <w:pPr/>
      <w:r>
        <w:rPr/>
        <w:t xml:space="preserve">أخبر أنّ مولده في ذي الحجة من سنة تسع وخمسين وخمس مائة.</w:t>
      </w:r>
    </w:p>
    <w:p/>
    <w:p>
      <w:pPr/>
      <w:r>
        <w:rPr/>
        <w:t xml:space="preserve">حدّثني الأديب ياقوت الحمويّ مشافهة أنّ إبراهيم المذكور له من التصانيف: كتاب ديوان الإنشاء، وكتاب شرح كليلة ودمنة بالفارسية، وكتاب الوسائل إلى الرسائل من نثره، وكتاب ديوان شعره بالعربية، وكتاب ديوان شعره بالفارسيّة، وكتاب الخطب في دعوات ختم القرآن سمّاها تتمّة التتميم، وكتاب الطّرفة في التّحفة بالفارسية، ورسائل أساس نامة: في المواعظ بالفارسية، وكتاب تعريف شواهد التصريف، وكتاب أزموذارنامه: تشتمل على أبيات عربيّة من كليلة ودمنة شرحها بالفارسية، وكتاب كفتار نامه: منطق، وكتاب مرتع الوسائل ومربع الرسائل.</w:t>
      </w:r>
    </w:p>
    <w:p>
      <w:pPr>
        <w:jc w:val="start"/>
        <w:bidi/>
      </w:pPr>
      <w:r>
        <w:rPr>
          <w:sz w:val="24"/>
          <w:szCs w:val="24"/>
          <w:b w:val="1"/>
          <w:bCs w:val="1"/>
          <w:rtl/>
        </w:rPr>
        <w:t xml:space="preserve">
الدر الثمين في أسماء المصنفين،(دار الغرب الإسلامي - تونس،2009،ط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2026-06-15T15:11:12+03:00</dcterms:created>
  <dcterms:modified xsi:type="dcterms:W3CDTF">2026-06-15T15:11:12+03:00</dcterms:modified>
</cp:coreProperties>
</file>

<file path=docProps/custom.xml><?xml version="1.0" encoding="utf-8"?>
<Properties xmlns="http://schemas.openxmlformats.org/officeDocument/2006/custom-properties" xmlns:vt="http://schemas.openxmlformats.org/officeDocument/2006/docPropsVTypes"/>
</file>