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موى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موى
</w:t>
      </w:r>
    </w:p>
    <w:p>
      <w:pPr/>
      <w:r>
        <w:rPr/>
        <w:t xml:space="preserve">ميمون بن موى [ت، ق] المرئى.</w:t>
      </w:r>
    </w:p>
    <w:p/>
    <w:p>
      <w:pPr/>
      <w:r>
        <w:rPr/>
        <w:t xml:space="preserve">عن الحسن البصري، وغيره.</w:t>
      </w:r>
    </w:p>
    <w:p/>
    <w:p>
      <w:pPr/>
      <w:r>
        <w:rPr/>
        <w:t xml:space="preserve">قال الفلاس: صدوق، لكنه ضعيف الحديث.</w:t>
      </w:r>
    </w:p>
    <w:p/>
    <w:p>
      <w:pPr/>
      <w:r>
        <w:rPr/>
        <w:t xml:space="preserve">وقال أحمد: كان يدلس، كان لا يقول حدثنا الحسن، ما أرى به بأسا.</w:t>
      </w:r>
    </w:p>
    <w:p/>
    <w:p>
      <w:pPr/>
      <w:r>
        <w:rPr/>
        <w:t xml:space="preserve">بندار، حدثنا يحيى القطان، عن ميمون المرئى، عن الحسن، عن علي: من تزوج وهو محرم نزعنا منه امرأته.</w:t>
      </w:r>
    </w:p>
    <w:p/>
    <w:p>
      <w:pPr/>
      <w:r>
        <w:rPr/>
        <w:t xml:space="preserve">قال النسائي: ليس بالقوى.</w:t>
      </w:r>
    </w:p>
    <w:p/>
    <w:p>
      <w:pPr/>
      <w:r>
        <w:rPr/>
        <w:t xml:space="preserve">وفى مسند أحمد: حدثنا محمد بن بكر، حدثنا ميمون المرئى، حدثنا ميمون بن سياه، عن أنس، نبي الله صلى الله عليه وسلم، قال: ما من مسلمين التقيا فأخذ أحدهما بيد صاحبه إلا كان حقا على الله أن يحضر دعاءهما، ولا يفرق بينهما حتى يغفر لهما.</w:t>
      </w:r>
    </w:p>
    <w:p/>
    <w:p>
      <w:pPr/>
      <w:r>
        <w:rPr/>
        <w:t xml:space="preserve">هذا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2026-06-11T05:45:59+03:00</dcterms:created>
  <dcterms:modified xsi:type="dcterms:W3CDTF">2026-06-11T05:45:59+03:00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