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صالح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صالح البلخي
</w:t>
      </w:r>
    </w:p>
    <w:p>
      <w:pPr/>
      <w:r>
        <w:rPr/>
        <w:t xml:space="preserve">محمد بن صالح البلخي. لا يعرف، والخبر منكر جدا.</w:t>
      </w:r>
    </w:p>
    <w:p/>
    <w:p>
      <w:pPr/>
      <w:r>
        <w:rPr/>
        <w:t xml:space="preserve">رواه أحمد ابن حامد البلخي - مجهول - عن هذا، عن أبي سليمان الجوزجاني، عن محمد بن الحسن، عن أبي حنيفة، عن حماد، عن إبراهيم، عن علقمة، عن عبد الله، قال: قال رسول الله صلى الله عليه وسلم: إذا قال الرجل لامرأته: أنت طالق بمشيئة الله أو بإرادة الله المشيئة هي خاص لله لا يقع الطلاق و </w:t>
      </w:r>
    </w:p>
    <w:p/>
    <w:p>
      <w:pPr/>
      <w:r>
        <w:rPr/>
        <w:t xml:space="preserve">[في] الارادة يقع الطلاق.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2026-07-26T13:34:09+03:00</dcterms:created>
  <dcterms:modified xsi:type="dcterms:W3CDTF">2026-07-26T13:34:09+03:00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