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عكاش بن الأشعث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عكاش بن الأشعث البصري
</w:t>
      </w:r>
    </w:p>
    <w:p>
      <w:pPr/>
      <w:r>
        <w:rPr/>
        <w:t xml:space="preserve">عكاش بن الأشعث البصري. عن الحسن، قال: التراب ربيع الصبيان.</w:t>
      </w:r>
    </w:p>
    <w:p/>
    <w:p>
      <w:pPr/>
      <w:r>
        <w:rPr/>
        <w:t xml:space="preserve">وعنه محمد بن سيابة.</w:t>
      </w:r>
    </w:p>
    <w:p/>
    <w:p>
      <w:pPr/>
      <w:r>
        <w:rPr/>
        <w:t xml:space="preserve">مجهول.</w:t>
      </w:r>
    </w:p>
    <w:p/>
    <w:p>
      <w:pPr/>
      <w:r>
        <w:rPr/>
        <w:t xml:space="preserve">وكذا ابن سيابة.</w:t>
      </w:r>
    </w:p>
    <w:p/>
    <w:p>
      <w:pPr/>
      <w:r>
        <w:rPr/>
        <w:t xml:space="preserve">ويقال ابن أبي سيابة.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2026-07-27T13:31:52+03:00</dcterms:created>
  <dcterms:modified xsi:type="dcterms:W3CDTF">2026-07-27T13:31:52+03:00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