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سلمان
</w:t>
      </w:r>
    </w:p>
    <w:p>
      <w:pPr>
        <w:jc w:val="start"/>
        <w:bidi/>
      </w:pPr>
      <w:r>
        <w:rPr>
          <w:rFonts w:ascii="arial" w:hAnsi="arial" w:eastAsia="arial" w:cs="arial"/>
          <w:sz w:val="28"/>
          <w:szCs w:val="28"/>
          <w:b w:val="1"/>
          <w:bCs w:val="1"/>
          <w:rtl/>
        </w:rPr>
        <w:t xml:space="preserve">عبيد بن سلمان
</w:t>
      </w:r>
    </w:p>
    <w:p>
      <w:pPr/>
      <w:r>
        <w:rPr/>
        <w:t xml:space="preserve">عبيد بن سلمان [ق] الكلبي، والد البخترى.</w:t>
      </w:r>
    </w:p>
    <w:p/>
    <w:p>
      <w:pPr/>
      <w:r>
        <w:rPr/>
        <w:t xml:space="preserve">لا يعرف.</w:t>
      </w:r>
    </w:p>
    <w:p/>
    <w:p>
      <w:pPr/>
      <w:r>
        <w:rPr/>
        <w:t xml:space="preserve">له عن أبي هريرة.</w:t>
      </w:r>
    </w:p>
    <w:p/>
    <w:p>
      <w:pPr/>
      <w:r>
        <w:rPr/>
        <w:t xml:space="preserve">قال أبو حاتم: مجهول.</w:t>
      </w:r>
    </w:p>
    <w:p>
      <w:pPr>
        <w:jc w:val="start"/>
        <w:bidi/>
      </w:pPr>
      <w:r>
        <w:rPr>
          <w:sz w:val="24"/>
          <w:szCs w:val="24"/>
          <w:b w:val="1"/>
          <w:bCs w:val="1"/>
          <w:rtl/>
        </w:rPr>
        <w:t xml:space="preserve">
ميزان الاعتدال في نقد الرجال،(دار المعرفة للطباعة والنشر، بيروت - لبنان،1963،ط 1،ج 3،ص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سلمان الكلبي
</w:t>
      </w:r>
    </w:p>
    <w:p>
      <w:pPr/>
      <w:r>
        <w:rPr/>
        <w:t xml:space="preserve">عبيد بن سلمان الكلبي </w:t>
      </w:r>
    </w:p>
    <w:p/>
    <w:p>
      <w:pPr/>
      <w:r>
        <w:rPr/>
        <w:t xml:space="preserve">عن أبي ذر وطائفة وعنه ابنه البختري ويزيد بن عبد الملك قال أبو حاتم مجهول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سلمان الكلبي ثم الطابخي
</w:t>
      </w:r>
    </w:p>
    <w:p>
      <w:pPr/>
      <w:r>
        <w:rPr/>
        <w:t xml:space="preserve">(ق) عبيد بن سلمان الكلبي ثم الطابخي، والد البختري بن عبيد. </w:t>
      </w:r>
    </w:p>
    <w:p/>
    <w:p>
      <w:pPr/>
      <w:r>
        <w:rPr/>
        <w:t xml:space="preserve">قال أبو حاتم: مجهول، كذا ذكره المزي، وفيه نظر؛ لأن هذه الترجمة لم أجدها في كتاب ابن أبي حاتم جملة، ولا ذكرها البخاري، ولا ابن حبان، ولا يعقوب بن سفيان، ولا ابن سعد، ولا خليفة، ولا مسلم، ولا الهيثم بن عدي، ولا ابن شاهين ولا الدارقطني، ولا ابن خلفون، ولا غيرهم ممن يذكر التراجم والطبقات.</w:t>
      </w:r>
    </w:p>
    <w:p/>
    <w:p>
      <w:pPr/>
      <w:r>
        <w:rPr/>
        <w:t xml:space="preserve">ولما ذكره الصريفيني قال: يحقق ولم يقل فيه شيئا والله تعالى أعلم.</w:t>
      </w:r>
    </w:p>
    <w:p/>
    <w:p>
      <w:pPr/>
      <w:r>
        <w:rPr/>
        <w:t xml:space="preserve">وفي قوله: الكلبي ثم الطابخي تجوز؛ لأن طابخة هو عامر بن تغلب بن وبرة بن تغلب بن حلوان بن عمران بن الحافي بن قضاعة، وكلب هو ابن وبرة بن تغلب بن حلوان، لكنهم دخلوا في كلب، فصار عدادهم فيهم ذكره الكلبي [ق 77 / ب].</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2026-07-27T13:38:52+03:00</dcterms:created>
  <dcterms:modified xsi:type="dcterms:W3CDTF">2026-07-27T13:38:52+03:00</dcterms:modified>
</cp:coreProperties>
</file>

<file path=docProps/custom.xml><?xml version="1.0" encoding="utf-8"?>
<Properties xmlns="http://schemas.openxmlformats.org/officeDocument/2006/custom-properties" xmlns:vt="http://schemas.openxmlformats.org/officeDocument/2006/docPropsVTypes"/>
</file>