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ضرار، أبو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ضرار، أبو عمرو
</w:t>
      </w:r>
    </w:p>
    <w:p>
      <w:pPr/>
      <w:r>
        <w:rPr/>
        <w:t xml:space="preserve">عبيد الله بن ضرار، أبو عمرو. لا يحتج به ولا كرامة، قاله الأزدي، ثم روى له، عن أبيه، عن الزهري، قال: لا تشاور من ليس في بيته دقيق.</w:t>
      </w:r>
    </w:p>
    <w:p/>
    <w:p>
      <w:pPr/>
      <w:r>
        <w:rPr/>
        <w:t xml:space="preserve">قلت: لكن في إسناده أحمد بن عبد الرحمن بن الفضل، وهو متروك، قاله أبو العباس العشاب في كتاب الحافل الذي ذيل به على الكامل.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2026-07-27T13:30:32+03:00</dcterms:created>
  <dcterms:modified xsi:type="dcterms:W3CDTF">2026-07-27T13:30:32+03:00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