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القاسم النهاوندي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القاسم النهاوندي
</w:t>
      </w:r>
    </w:p>
    <w:p>
      <w:pPr/>
      <w:r>
        <w:rPr/>
        <w:t xml:space="preserve">عبد الله بن أحمد بن القاسم النهاوندي أخذ عنه الحاكم ببغداد، وقال: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القاسم بن شنبك، أبو محمد، النهاوندي.
</w:t>
      </w:r>
    </w:p>
    <w:p>
      <w:pPr/>
      <w:r>
        <w:rPr/>
        <w:t xml:space="preserve">عبد الله بن أحمد بن القاسم بن شنبك، أبو محمد، النهاوندي. </w:t>
      </w:r>
    </w:p>
    <w:p/>
    <w:p>
      <w:pPr/>
      <w:r>
        <w:rPr/>
        <w:t xml:space="preserve">قال الذهبي: أخذ عنه الحاكم ببغداد، وقال: ليس بثقة.</w:t>
      </w:r>
    </w:p>
    <w:p/>
    <w:p>
      <w:pPr/>
      <w:r>
        <w:rPr/>
        <w:t xml:space="preserve">قلت: [متروك].</w:t>
      </w:r>
    </w:p>
    <w:p/>
    <w:p>
      <w:pPr/>
      <w:r>
        <w:rPr/>
        <w:t xml:space="preserve">الإكمال (4/ 262)، ’’الميزان’’ (2/ 390)، ’’المغني’’ (1/ 471)، ’’اللسان’’ (4/ 425).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2026-07-27T12:42:24+03:00</dcterms:created>
  <dcterms:modified xsi:type="dcterms:W3CDTF">2026-07-27T12:42:24+03:00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