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عمرو / بن هند الجملى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عمرو / بن هند الجملى
</w:t>
      </w:r>
    </w:p>
    <w:p>
      <w:pPr/>
      <w:r>
        <w:rPr/>
        <w:t xml:space="preserve">زياد بن عمرو / بن هند الجملى [س، ق] .</w:t>
      </w:r>
    </w:p>
    <w:p/>
    <w:p>
      <w:pPr/>
      <w:r>
        <w:rPr/>
        <w:t xml:space="preserve">كوفي تفرد عنه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عمرو الجملي
</w:t>
      </w:r>
    </w:p>
    <w:p>
      <w:pPr/>
      <w:r>
        <w:rPr/>
        <w:t xml:space="preserve">زياد بن عمرو الجملي </w:t>
      </w:r>
    </w:p>
    <w:p/>
    <w:p>
      <w:pPr/>
      <w:r>
        <w:rPr/>
        <w:t xml:space="preserve">عن عمران بن حذيفة وعنه منصور وثق حب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2026-07-27T14:32:46+03:00</dcterms:created>
  <dcterms:modified xsi:type="dcterms:W3CDTF">2026-07-27T14:32:46+03:00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