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ركن الشامي
</w:t>
      </w:r>
    </w:p>
    <w:p>
      <w:pPr/>
      <w:r>
        <w:rPr/>
        <w:t xml:space="preserve">ركن الشامي. عن مكحول، وغيره.</w:t>
      </w:r>
    </w:p>
    <w:p/>
    <w:p>
      <w:pPr/>
      <w:r>
        <w:rPr/>
        <w:t xml:space="preserve">وهاه ابن المبارك.</w:t>
      </w:r>
    </w:p>
    <w:p/>
    <w:p>
      <w:pPr/>
      <w:r>
        <w:rPr/>
        <w:t xml:space="preserve">وقال يحيى: ليس بشئ.</w:t>
      </w:r>
    </w:p>
    <w:p/>
    <w:p>
      <w:pPr/>
      <w:r>
        <w:rPr/>
        <w:t xml:space="preserve">وقال النسائي والدارقطني: متروك.</w:t>
      </w:r>
    </w:p>
    <w:p/>
    <w:p>
      <w:pPr/>
      <w:r>
        <w:rPr/>
        <w:t xml:space="preserve">آدم بن أبي أياس، حدثنا ركن بن عبد الله، عن مكحول، عن أبي أمامة، قلت: </w:t>
      </w:r>
    </w:p>
    <w:p/>
    <w:p>
      <w:pPr/>
      <w:r>
        <w:rPr/>
        <w:t xml:space="preserve">[99 / 2] يارسول الله يتوضأ الرجل للصلاة ثم يقبل أهله ويلاعبها ينقض ذلك وضوءه؟ / قال: لا.</w:t>
      </w:r>
    </w:p>
    <w:p/>
    <w:p>
      <w:pPr/>
      <w:r>
        <w:rPr/>
        <w:t xml:space="preserve">عبد الصمد بن النعمان، حدثنا ركن أبو عبد الله، عن مكحول، عن أبي أمامة، عن النبي صلى الله عليه وسلم: ذرارى المسلمين تحت العرش، شافع ومشفع، ومن لم يبلغ اثنتى عشرة سنة، ومن بلغ ثلاث عشرة سنة فعليه وله.</w:t>
      </w:r>
    </w:p>
    <w:p/>
    <w:p>
      <w:pPr/>
      <w:r>
        <w:rPr/>
        <w:t xml:space="preserve">مات نحو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2026-07-26T16:17:24+03:00</dcterms:created>
  <dcterms:modified xsi:type="dcterms:W3CDTF">2026-07-26T16:17:24+03:00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