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دواد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دواد بن مدرك
</w:t>
      </w:r>
    </w:p>
    <w:p>
      <w:pPr/>
      <w:r>
        <w:rPr/>
        <w:t xml:space="preserve">دواد بن مدرك [ق] .</w:t>
      </w:r>
    </w:p>
    <w:p/>
    <w:p>
      <w:pPr/>
      <w:r>
        <w:rPr/>
        <w:t xml:space="preserve">نكرة لا يعرف.</w:t>
      </w:r>
    </w:p>
    <w:p/>
    <w:p>
      <w:pPr/>
      <w:r>
        <w:rPr/>
        <w:t xml:space="preserve">له عن عروة.</w:t>
      </w:r>
    </w:p>
    <w:p/>
    <w:p>
      <w:pPr/>
      <w:r>
        <w:rPr/>
        <w:t xml:space="preserve">تفرد عنه موسى </w:t>
      </w:r>
    </w:p>
    <w:p/>
    <w:p>
      <w:pPr/>
      <w:r>
        <w:rPr/>
        <w:t xml:space="preserve">[89 / 2] ابن عبيدة، وقع لنا حديثه بعلو في جزء ابن الطلاية: مسجدي خاتم مساجد الانبياء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2026-07-27T09:34:50+03:00</dcterms:created>
  <dcterms:modified xsi:type="dcterms:W3CDTF">2026-07-27T09:34:50+03:00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