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[د، س، ق]
</w:t>
      </w:r>
    </w:p>
    <w:p>
      <w:pPr>
        <w:jc w:val="start"/>
        <w:bidi/>
      </w:pPr>
      <w:r>
        <w:rPr>
          <w:rFonts w:ascii="arial" w:hAnsi="arial" w:eastAsia="arial" w:cs="arial"/>
          <w:sz w:val="28"/>
          <w:szCs w:val="28"/>
          <w:b w:val="1"/>
          <w:bCs w:val="1"/>
          <w:rtl/>
        </w:rPr>
        <w:t xml:space="preserve">أنس [د، س، ق]
</w:t>
      </w:r>
    </w:p>
    <w:p>
      <w:pPr/>
      <w:r>
        <w:rPr/>
        <w:t xml:space="preserve">أنس [د، س، ق] . عن أبي أنس، عن عبد الله بن نافع، عن ابن أبي العمياء.</w:t>
      </w:r>
    </w:p>
    <w:p/>
    <w:p>
      <w:pPr/>
      <w:r>
        <w:rPr/>
        <w:t xml:space="preserve">وعنه عبد ربه بن سعيد.</w:t>
      </w:r>
    </w:p>
    <w:p/>
    <w:p>
      <w:pPr/>
      <w:r>
        <w:rPr/>
        <w:t xml:space="preserve">لا يعرف.</w:t>
      </w:r>
    </w:p>
    <w:p/>
    <w:p>
      <w:pPr/>
      <w:r>
        <w:rPr/>
        <w:t xml:space="preserve">وكذا يسميه شعبة، عن عبد ربه.</w:t>
      </w:r>
    </w:p>
    <w:p/>
    <w:p>
      <w:pPr/>
      <w:r>
        <w:rPr/>
        <w:t xml:space="preserve">وقال </w:t>
      </w:r>
    </w:p>
    <w:p/>
    <w:p>
      <w:pPr/>
      <w:r>
        <w:rPr/>
        <w:t xml:space="preserve">[الليث: عن عبد ربه، عن] عمران بن أبي أنس، وهذا أشبه.</w:t>
      </w:r>
    </w:p>
    <w:p>
      <w:pPr>
        <w:jc w:val="start"/>
        <w:bidi/>
      </w:pPr>
      <w:r>
        <w:rPr>
          <w:sz w:val="24"/>
          <w:szCs w:val="24"/>
          <w:b w:val="1"/>
          <w:bCs w:val="1"/>
          <w:rtl/>
        </w:rPr>
        <w:t xml:space="preserve">
ميزان الاعتدال في نقد الرجال،(دار المعرفة للطباعة والنشر، بيروت - لبنان،1963،ط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أبي أنس
</w:t>
      </w:r>
    </w:p>
    <w:p>
      <w:pPr/>
      <w:r>
        <w:rPr/>
        <w:t xml:space="preserve">أنس بن أبي أنس </w:t>
      </w:r>
    </w:p>
    <w:p/>
    <w:p>
      <w:pPr/>
      <w:r>
        <w:rPr/>
        <w:t xml:space="preserve">عن بن أبي العمياء وعنه عبد ربه بن سعيد الأظهر أنه عمران بن أبي أنس دس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أبي أنس عن ابن العيماء.
</w:t>
      </w:r>
    </w:p>
    <w:p>
      <w:pPr/>
      <w:r>
        <w:rPr/>
        <w:t xml:space="preserve">(د س ق) أنس بن أبي أنس عن ابن العيماء. </w:t>
      </w:r>
    </w:p>
    <w:p/>
    <w:p>
      <w:pPr/>
      <w:r>
        <w:rPr/>
        <w:t xml:space="preserve">خرج أبو بكر بن خزيمة حديثه في «صحيحه»، وأبو عبد الله أحمد بن حنبل في «مسنده» الذي زعم أبو موسى المديني الحافظ في كتاب «خصائص المسند» تأليفه: إن الحديث إذا خرجه في مسنده يكون صحيحاً عنده.</w:t>
      </w:r>
    </w:p>
    <w:p/>
    <w:p>
      <w:pPr/>
      <w:r>
        <w:rPr/>
        <w:t xml:space="preserve">فإن صح قوله فناهيك به صحة لحديثه وتوثيقا له، لا كما زعمه بعض المتأخرين أنه لا يعرف، وكأنه قاله من غير نقل ولا روية.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أبي أنس
</w:t>
      </w:r>
    </w:p>
    <w:p>
      <w:pPr/>
      <w:r>
        <w:rPr/>
        <w:t xml:space="preserve">أنس بن أبي أنس </w:t>
      </w:r>
    </w:p>
    <w:p/>
    <w:p>
      <w:pPr/>
      <w:r>
        <w:rPr/>
        <w:t xml:space="preserve">من أهل مصر روى عن عبد الله بن نافع بن العمياء روى عنه عبد ربه بن سعيد من رواية شعبة وأما عمرو بن الحارث والليث فيرويان عن عبد ربه بن سعيد عن عمران بن أبي أنس، وهو أشبه مما قال شعبة،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2026-07-27T14:05:48+03:00</dcterms:created>
  <dcterms:modified xsi:type="dcterms:W3CDTF">2026-07-27T14:05:48+03:00</dcterms:modified>
</cp:coreProperties>
</file>

<file path=docProps/custom.xml><?xml version="1.0" encoding="utf-8"?>
<Properties xmlns="http://schemas.openxmlformats.org/officeDocument/2006/custom-properties" xmlns:vt="http://schemas.openxmlformats.org/officeDocument/2006/docPropsVTypes"/>
</file>