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أسود
</w:t>
      </w:r>
    </w:p>
    <w:p>
      <w:pPr/>
      <w:r>
        <w:rPr/>
        <w:t xml:space="preserve">عبد الله بن أسود من أهل لورقة؛ يكنى: أبا محمد. بلغني أنه سمع من ابن وضاح وعمر إلى أن توفي سنة ثلاث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أسود
</w:t>
      </w:r>
    </w:p>
    <w:p>
      <w:pPr/>
      <w:r>
        <w:rPr/>
        <w:t xml:space="preserve">عبد الله بن أسود </w:t>
      </w:r>
    </w:p>
    <w:p/>
    <w:p>
      <w:pPr/>
      <w:r>
        <w:rPr/>
        <w:t xml:space="preserve">لورقي، توفى سنة ثلاث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2026-07-27T09:36:34+03:00</dcterms:created>
  <dcterms:modified xsi:type="dcterms:W3CDTF">2026-07-27T09:36:34+03:00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