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الطبلبي
</w:t>
      </w:r>
    </w:p>
    <w:p>
      <w:pPr>
        <w:jc w:val="start"/>
        <w:bidi/>
      </w:pPr>
      <w:r>
        <w:rPr>
          <w:rFonts w:ascii="arial" w:hAnsi="arial" w:eastAsia="arial" w:cs="arial"/>
          <w:sz w:val="28"/>
          <w:szCs w:val="28"/>
          <w:b w:val="1"/>
          <w:bCs w:val="1"/>
          <w:rtl/>
        </w:rPr>
        <w:t xml:space="preserve">الطبلبي
</w:t>
      </w:r>
    </w:p>
    <w:p>
      <w:pPr/>
      <w:r>
        <w:rPr/>
        <w:t xml:space="preserve">الطبلبي  محمد الطبلبي، شمس الدين، الفقيه المالكي، النحوي، اللغوي، المنطقي.</w:t>
      </w:r>
    </w:p>
    <w:p/>
    <w:p>
      <w:pPr/>
      <w:r>
        <w:rPr/>
        <w:t xml:space="preserve">ولد بطبلبة، وارتحل إلى تونس لطلب العلم فلازم العلامة محمد مغوش سنين عديدة، وقرأ على غيره وهاجر من تونس عند انحلال الدولة الحفصية، واحتلال خير الدين بربروس لها، مثل شيخه مغوش وغيرهما من العلماء، ونزل بطرابلس بلبنان. قال رضي الدين ابن الحنبلي «ولم يكن مقدرا لمواهبه واستوطن طرابلس الشام، وأشغل بها الطلبة مع الترك كثيرا لاشتغاله بكسب المال والمترفهات والمنتزهات، وربما أشغل الغبي البليد، دون الذكي الجليد، وربما ترك الاشتغال حيث حضر لديه ذو الجدال «وربما كان رضي الدين ابن الحنبلي متحاملا عليه لأن غيره وصفه بالإمام العلامة. ويبدو أنه أقرأ بتونس إذ من الآخذين عنه محمد بن المسلم التونسي الحصيني (بصيغة التصغير نسبة إلى بني حصين طائفة من العرب بتونس في العصر الحفصي) نزيل حلب.</w:t>
      </w:r>
    </w:p>
    <w:p/>
    <w:p>
      <w:pPr/>
      <w:r>
        <w:rPr/>
        <w:t xml:space="preserve">ولما ورد شيخه مغوش إلى حلب قادما من تركيا في طريقه إلى مصر سنة 944/ 1537 «وقد عليه قضاء لحق المشيخة، وقطن بالحلاوية ثم عاد إلى طرابلس مودعا وبها توفي في خامس عشر صفر ... » قاله رضي الدين ابن الحنبلي.</w:t>
      </w:r>
    </w:p>
    <w:p/>
    <w:p>
      <w:pPr/>
      <w:r>
        <w:rPr/>
        <w:t xml:space="preserve">مؤلفاته:</w:t>
      </w:r>
    </w:p>
    <w:p/>
    <w:p>
      <w:pPr/>
      <w:r>
        <w:rPr/>
        <w:t xml:space="preserve">1) حاشية على توضيح ابن هشام في النحو.</w:t>
      </w:r>
    </w:p>
    <w:p/>
    <w:p>
      <w:pPr/>
      <w:r>
        <w:rPr/>
        <w:t xml:space="preserve">2) شرح مقامات الحريري، وقال ابن الحنبلي: «يقال إنه سلخه من شرحها للشريشي»، وفي كشف الظنون: «وكتب عليها أبو السعود بن محمد بن علي الكنفاني ... شرحا جعله تكملة لشرح شيخه محمد بن الطبلبي المتوفى سنة 962 المغربي التونسي وفاته شرع في شرحها وكتب ستين جزءا ووصل إلى المقامة الرابعة والعشرين فمات فأكمله أبو السعود المذكور ووصل إلى آخر الرابعة والعشرين وفرغ منه سنة 966».</w:t>
      </w:r>
    </w:p>
    <w:p/>
    <w:p>
      <w:pPr/>
      <w:r>
        <w:rPr/>
        <w:t xml:space="preserve">المصادر والمراجع:</w:t>
      </w:r>
    </w:p>
    <w:p/>
    <w:p>
      <w:pPr/>
      <w:r>
        <w:rPr/>
        <w:t xml:space="preserve">- در الحبب في تاريخ أعيان حلب، رضي الدين ابن الحنبلي (دمشق 1973) 2/ 129، 262 - 63، شذرات الذهب 8/ 368، الكواكب السائرة في أعيان المائة العاشرة نجم الدين الغزي 3/ 77، كشف الظنون 2/ 1789، 1790، هدية العارفين 2/ 245.</w:t>
      </w:r>
    </w:p>
    <w:p>
      <w:pPr>
        <w:jc w:val="start"/>
        <w:bidi/>
      </w:pPr>
      <w:r>
        <w:rPr>
          <w:sz w:val="24"/>
          <w:szCs w:val="24"/>
          <w:b w:val="1"/>
          <w:bCs w:val="1"/>
          <w:rtl/>
        </w:rPr>
        <w:t xml:space="preserve">
تراجم المؤلفين التونسيين،(دار الغرب الإسلامي، بيروت - لبنان،1994،ط 2،ج 3،ص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2026-07-23T16:31:46+03:00</dcterms:created>
  <dcterms:modified xsi:type="dcterms:W3CDTF">2026-07-23T16:31:46+03:00</dcterms:modified>
</cp:coreProperties>
</file>

<file path=docProps/custom.xml><?xml version="1.0" encoding="utf-8"?>
<Properties xmlns="http://schemas.openxmlformats.org/officeDocument/2006/custom-properties" xmlns:vt="http://schemas.openxmlformats.org/officeDocument/2006/docPropsVTypes"/>
</file>