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الزغواني
</w:t>
      </w:r>
    </w:p>
    <w:p>
      <w:pPr>
        <w:jc w:val="start"/>
        <w:bidi/>
      </w:pPr>
      <w:r>
        <w:rPr>
          <w:rFonts w:ascii="arial" w:hAnsi="arial" w:eastAsia="arial" w:cs="arial"/>
          <w:sz w:val="28"/>
          <w:szCs w:val="28"/>
          <w:b w:val="1"/>
          <w:bCs w:val="1"/>
          <w:rtl/>
        </w:rPr>
        <w:t xml:space="preserve">الزغواني
</w:t>
      </w:r>
    </w:p>
    <w:p>
      <w:pPr/>
      <w:r>
        <w:rPr/>
        <w:t xml:space="preserve">الزغواني  محمد بن عمر الزغواني، المفسر، المحدث، الفقيه.</w:t>
      </w:r>
    </w:p>
    <w:p/>
    <w:p>
      <w:pPr/>
      <w:r>
        <w:rPr/>
        <w:t xml:space="preserve">قرأ بجامع الزيتونة على الشيخ محمد الصادق النيفر، وغيره، وتخرج منه محرزا على شهادة التطويع، ثم اجتاز بنجاح مناظرة التدريس من الطبقة الثانية، ثم بعد ذلك مناظرة التدريس من الطبقة الأولى، ولبث مدرسا بجامع الزيتونة أكثر من نصف قرن.</w:t>
      </w:r>
    </w:p>
    <w:p/>
    <w:p>
      <w:pPr/>
      <w:r>
        <w:rPr/>
        <w:t xml:space="preserve">واشتهر بدراسة كتب الحديث خارج دروسه الرسمية كالبخاري ومسلم، والشفا، ومسند الإمام أحمد بن حنبل الذي وصل إلى جزئه السابع عشر، وعاقته المنية المفاجئة عن إتمامه، كما اشتهر بدراسة التفسير، وأسلوبه فيه أنه يتوسع في المعنى اللغوي، ومختلف استعمال الكلمة المفسرة، وأصل اشتقاقها، وما يتعلق بالكلمة من أحكام نحوية، وصرفية، ويتبع ذلك ببيان المعنى المناسب مع إيراد مختلف التفاسير والآراء، وينتقل إلى تحليل الآية تحليلا دقيقا، وذكر ما يمكن فهمه من المعاني.</w:t>
      </w:r>
    </w:p>
    <w:p/>
    <w:p>
      <w:pPr/>
      <w:r>
        <w:rPr/>
        <w:t xml:space="preserve">وهو بقدر توسعه اللغوي لا يعتني كثيرا بالكلام على الناحية البلاغية.</w:t>
      </w:r>
    </w:p>
    <w:p/>
    <w:p>
      <w:pPr/>
      <w:r>
        <w:rPr/>
        <w:t xml:space="preserve">تولى إمامة جامع الحجامين حوالي نصف قرن منذ تأسيسه سنة 1351/ 1932 وقد كان قبل ذلك ينوب الشيخ محمد الصادق النيفر بجامع الزرارعية.</w:t>
      </w:r>
    </w:p>
    <w:p/>
    <w:p>
      <w:pPr/>
      <w:r>
        <w:rPr/>
        <w:t xml:space="preserve">مؤلفاته:</w:t>
      </w:r>
    </w:p>
    <w:p/>
    <w:p>
      <w:pPr/>
      <w:r>
        <w:rPr/>
        <w:t xml:space="preserve">1) الدرر المنتثرة في تفسير سورة البقرة، نشر منه سبع حلقات في «مجلة الهداية».</w:t>
      </w:r>
    </w:p>
    <w:p/>
    <w:p>
      <w:pPr/>
      <w:r>
        <w:rPr/>
        <w:t xml:space="preserve">2) سلم المعالي في الأسانيد العوالي، وهو ثبت جمع فيه إجازاته من شيوخ متعددين. ويؤخذ من هذا الثبت أن من شيوخه المجيزين الشيخ محمد الصادق المحرزي (من ذرية الشيخ محرز بن خلف) المتوفى في 14 جمادى الثانية سنة 1382، والشيخ إبراهيم المارغني الذي أخذ عنه القراءات السبع جمعا وإفرادا، وممن أجازه من غير التونسيين الشيخ عبد الحي الكتاني الفاسي، والشيخ محمد بن الحسن الحجوي الثعالبي الجعفري الفاسي أصلا الرباطي استقرارا.</w:t>
      </w:r>
    </w:p>
    <w:p/>
    <w:p>
      <w:pPr/>
      <w:r>
        <w:rPr/>
        <w:t xml:space="preserve">المرجع:</w:t>
      </w:r>
    </w:p>
    <w:p/>
    <w:p>
      <w:pPr/>
      <w:r>
        <w:rPr/>
        <w:t xml:space="preserve">- مجلة «الهداية» ع 32 س 7، ص 94 - 95، ع 5 س 7 ماي، جوان 1980 دراسة عن «سلم المعالي» للأستاذ مصطفى المهيري.</w:t>
      </w:r>
    </w:p>
    <w:p>
      <w:pPr>
        <w:jc w:val="start"/>
        <w:bidi/>
      </w:pPr>
      <w:r>
        <w:rPr>
          <w:sz w:val="24"/>
          <w:szCs w:val="24"/>
          <w:b w:val="1"/>
          <w:bCs w:val="1"/>
          <w:rtl/>
        </w:rPr>
        <w:t xml:space="preserve">
تراجم المؤلفين التونسيين،(دار الغرب الإسلامي، بيروت - لبنان،1994،ط 2،ج 2،ص 423)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2026-05-29T20:57:13+03:00</dcterms:created>
  <dcterms:modified xsi:type="dcterms:W3CDTF">2026-05-29T20:57:13+03:00</dcterms:modified>
</cp:coreProperties>
</file>

<file path=docProps/custom.xml><?xml version="1.0" encoding="utf-8"?>
<Properties xmlns="http://schemas.openxmlformats.org/officeDocument/2006/custom-properties" xmlns:vt="http://schemas.openxmlformats.org/officeDocument/2006/docPropsVTypes"/>
</file>