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الرياحي
</w:t>
      </w:r>
    </w:p>
    <w:p>
      <w:pPr/>
      <w:r>
        <w:rPr/>
        <w:t xml:space="preserve">الرياحي  محمد بن علي الرياحي، مؤرخ.</w:t>
      </w:r>
    </w:p>
    <w:p/>
    <w:p>
      <w:pPr/>
      <w:r>
        <w:rPr/>
        <w:t xml:space="preserve">ولد بتونس، وتعلم بجامع الزيتونة.</w:t>
      </w:r>
    </w:p>
    <w:p/>
    <w:p>
      <w:pPr/>
      <w:r>
        <w:rPr/>
        <w:t xml:space="preserve">له السحر الحلال في تراجم أعيان الرجال.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المؤلفين 11/ 12 نقلا عن هدية العارفين 2/ 400.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2026-07-23T06:54:13+03:00</dcterms:created>
  <dcterms:modified xsi:type="dcterms:W3CDTF">2026-07-23T06:54:13+03:00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