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دوم الأهدل
</w:t>
      </w:r>
    </w:p>
    <w:p>
      <w:pPr>
        <w:jc w:val="start"/>
        <w:bidi/>
      </w:pPr>
      <w:r>
        <w:rPr>
          <w:rFonts w:ascii="arial" w:hAnsi="arial" w:eastAsia="arial" w:cs="arial"/>
          <w:sz w:val="28"/>
          <w:szCs w:val="28"/>
          <w:b w:val="1"/>
          <w:bCs w:val="1"/>
          <w:rtl/>
        </w:rPr>
        <w:t xml:space="preserve">دوم الأهدل
</w:t>
      </w:r>
    </w:p>
    <w:p>
      <w:pPr/>
      <w:r>
        <w:rPr/>
        <w:t xml:space="preserve">دوم الأهدل  محمد بن يحيى دوم الحسيني الأهدل: من قضاة اليمن. ولد بالمنيرة، وقرأ القرآن الكريم، وحفظ بعض المتون، ثم رحل إلى المراوعة، فقرأ على علمائها. تولى أول أمره المكاتبات الشرعية، ورحل إلى بلدة الزعلية، فنشر العلم، ثم عاد إلى بلدته واشتغل بالتدريس. عرض عليه الإمام يحيى بن حميد الدين القضاء فرفضه، فكلفه حل بعض المشكلات، ثم أمره بقضاء مدينة الزهرة فتولاه عشر سنوات، وتركه لمرضه. له (نظم قواعد الإعراب لابن هشام)، (جدول حسابات الأوقات) وقرض الشعر.</w:t>
      </w:r>
    </w:p>
    <w:p/>
    <w:p>
      <w:pPr>
        <w:jc w:val="start"/>
        <w:bidi/>
      </w:pPr>
      <w:r>
        <w:rPr>
          <w:sz w:val="24"/>
          <w:szCs w:val="24"/>
          <w:b w:val="1"/>
          <w:bCs w:val="1"/>
          <w:rtl/>
        </w:rPr>
        <w:t xml:space="preserve">
إتمام الأعلام،(دار صادر - بيروت،1999،ط 1،ج 1،ص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2026-07-27T09:35:28+03:00</dcterms:created>
  <dcterms:modified xsi:type="dcterms:W3CDTF">2026-07-27T09:35:28+03:00</dcterms:modified>
</cp:coreProperties>
</file>

<file path=docProps/custom.xml><?xml version="1.0" encoding="utf-8"?>
<Properties xmlns="http://schemas.openxmlformats.org/officeDocument/2006/custom-properties" xmlns:vt="http://schemas.openxmlformats.org/officeDocument/2006/docPropsVTypes"/>
</file>