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التراب المكناسي
</w:t>
      </w:r>
    </w:p>
    <w:p>
      <w:pPr>
        <w:jc w:val="start"/>
        <w:bidi/>
      </w:pPr>
      <w:r>
        <w:rPr>
          <w:rFonts w:ascii="arial" w:hAnsi="arial" w:eastAsia="arial" w:cs="arial"/>
          <w:sz w:val="28"/>
          <w:szCs w:val="28"/>
          <w:b w:val="1"/>
          <w:bCs w:val="1"/>
          <w:rtl/>
        </w:rPr>
        <w:t xml:space="preserve">التراب المكناسي
</w:t>
      </w:r>
    </w:p>
    <w:p>
      <w:pPr/>
      <w:r>
        <w:rPr/>
        <w:t xml:space="preserve">التراب المكناسي  محمد بن محمد التراب المكناسي: عالم قارئ. ولد في مكناسة الزيتون، وقرأ على غالب علماء عصره. جمع القراءات السبع، وبرع في الفقه والنحو. تقلب في وظائف عديدة؛ فكان عدلا بمكناس ونائبا للقاضي بأحواز مكناس فمستشارا قانونيا لنظارة الأحباس فيها، فقاضيا بزاوية زرهون فعضوا بالمجلس الإقليمي لاستئناف أحكام القضاء بمكناس. من كتبه (الفتاوى الفقهية) جزآن، (شرح على الشاطبية)، (بلوغ المرام من حج بيت الله الحرام) عن رحلته إلى الحجاز.</w:t>
      </w:r>
    </w:p>
    <w:p/>
    <w:p>
      <w:pPr>
        <w:jc w:val="start"/>
        <w:bidi/>
      </w:pPr>
      <w:r>
        <w:rPr>
          <w:sz w:val="24"/>
          <w:szCs w:val="24"/>
          <w:b w:val="1"/>
          <w:bCs w:val="1"/>
          <w:rtl/>
        </w:rPr>
        <w:t xml:space="preserve">
إتمام الأعلام،(دار صادر - بيروت،1999،ط 1،ج 1،ص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2026-07-23T18:46:57+03:00</dcterms:created>
  <dcterms:modified xsi:type="dcterms:W3CDTF">2026-07-23T18:46:57+03:00</dcterms:modified>
</cp:coreProperties>
</file>

<file path=docProps/custom.xml><?xml version="1.0" encoding="utf-8"?>
<Properties xmlns="http://schemas.openxmlformats.org/officeDocument/2006/custom-properties" xmlns:vt="http://schemas.openxmlformats.org/officeDocument/2006/docPropsVTypes"/>
</file>