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الحركان
</w:t>
      </w:r>
    </w:p>
    <w:p>
      <w:pPr>
        <w:jc w:val="start"/>
        <w:bidi/>
      </w:pPr>
      <w:r>
        <w:rPr>
          <w:rFonts w:ascii="arial" w:hAnsi="arial" w:eastAsia="arial" w:cs="arial"/>
          <w:sz w:val="28"/>
          <w:szCs w:val="28"/>
          <w:b w:val="1"/>
          <w:bCs w:val="1"/>
          <w:rtl/>
        </w:rPr>
        <w:t xml:space="preserve">الحركان
</w:t>
      </w:r>
    </w:p>
    <w:p>
      <w:pPr/>
      <w:r>
        <w:rPr/>
        <w:t xml:space="preserve">الحركان  محمد علي الحركان: الأمين العام لرابطة العالم الإسلامي. ولد بالمدينة المنورة، وتعلم بمسجدها، ودرس فيه، وشغل مناصب عدة، منها القضاء. كان عضوا في هيئة كبار العلماء، وفي رابطة العلم الإسلامي فأمينا عاما لها، ونشطت حينئذ أعماله فيها، فشملت بقاع العالم القصية. وفي عهده أنشئت المجالس القارية للمساجد. وهو أول وزير للعدل في بلاده. ألف (أحكام الجنائز في الإسلام)، (تعليم الصلاة للبنات)، (تعليم الصلاة للبنين).</w:t>
      </w:r>
    </w:p>
    <w:p/>
    <w:p>
      <w:pPr>
        <w:jc w:val="start"/>
        <w:bidi/>
      </w:pPr>
      <w:r>
        <w:rPr>
          <w:sz w:val="24"/>
          <w:szCs w:val="24"/>
          <w:b w:val="1"/>
          <w:bCs w:val="1"/>
          <w:rtl/>
        </w:rPr>
        <w:t xml:space="preserve">
إتمام الأعلام،(دار صادر - بيروت،1999،ط 1،ج 1،ص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2026-07-27T10:28:00+03:00</dcterms:created>
  <dcterms:modified xsi:type="dcterms:W3CDTF">2026-07-27T10:28:00+03:00</dcterms:modified>
</cp:coreProperties>
</file>

<file path=docProps/custom.xml><?xml version="1.0" encoding="utf-8"?>
<Properties xmlns="http://schemas.openxmlformats.org/officeDocument/2006/custom-properties" xmlns:vt="http://schemas.openxmlformats.org/officeDocument/2006/docPropsVTypes"/>
</file>