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w:t>
      </w:r>
    </w:p>
    <w:p>
      <w:pPr>
        <w:jc w:val="start"/>
        <w:bidi/>
      </w:pPr>
      <w:r>
        <w:rPr>
          <w:rFonts w:ascii="arial" w:hAnsi="arial" w:eastAsia="arial" w:cs="arial"/>
          <w:sz w:val="28"/>
          <w:szCs w:val="28"/>
          <w:b w:val="1"/>
          <w:bCs w:val="1"/>
          <w:rtl/>
        </w:rPr>
        <w:t xml:space="preserve">المبارك
</w:t>
      </w:r>
    </w:p>
    <w:p>
      <w:pPr/>
      <w:r>
        <w:rPr/>
        <w:t xml:space="preserve">المبارك  محمد بن عبد القادر بن محمد المبارك: لغوي بحاثه مرب سياسي. ولد بدمشق لأسرة عرفت بالعلم والفضل. أصلها من الجزائر، وأفاد من والده كثيرا، وحضر حلقات كبار العلماء، ولزم دروس محدث الشام بدر الدين الحسيني، وقرأ عليه في الرياضيات والفيزياء والكيمياء وغيرها، وحصل على شهادتي معهد الحقوق ومدرسة الأدب العليا. عمل في المحاماة قليلا، ثم أوفد إلى السوربون، فنال إجازة معهد الدراسات الإسلامية ودبلوم علم الاجتماع والأخلاق، وعاد مدرسا فمفتشا بوزارة المعارف، وكلف بوضع المناهج المدرسية باختصاصه. فاز بالانتخابات النيابية، واختير وزيرا للأشغال العامة والمواصلات ثم الزراعة. واعتزل السياسة منصرفا إلى الأعمال العلمية، فكان أستاذا بكلية الشريعة بالجامعة السورية وصار عميدها كما درس بكلية الآداب فيها. وانتخب عضوا في مجمع دمشق والقاهرة وبغداد. ورحل إلى السودان أستاذا في جامعتي أم درمان والخرطوم. ثم قصد مكة المكرمة، فعمل بجامعتها ثم بجامعة الملك عبد العزيز بجدة وانتدبته هذه للتدريس بالجامعة الأردنية. أسهم في التخطيط العلمي لعدد من الجامعات العربية والإسلامية، وشارك في اللقاءات الإسلامية - المسيحية. من كتبه (سلسلة نظام الإسلام)، (المجتمع الإسلامي المعاصر)، (الفكر الإسلامي الحديث في مواجهة الأفكار الغربية)، (آراء ابن تيمية في الدولة ومدى تدخلها في المجال الاقتصادي)، (دراسة أدبية لنصوص من القرآن)، (نحو إنسانية سعيدة)، (فقه اللغة وخصائص العربية)، (فن القصص في كتاب البخلاء للجاحظ)، (عبقرية اللغة العربية)، (الأمة العربية في معركة تحقيق الذات)، (الأمة والعوامل المكونة لها)، (العقيدة في القرآن)، (ذاتية الإسلام أمام المذاهب والعقائد)، (نحو وعي إسلامي جديد)، (المشكلة الثقافية في العالم الإسلامي)، (جذور الأزمة في المجتمع الإسلامي)، (مذكرات في الثقافة الإسلامية)، (الإسلام والفكر العلمي)، (نظرة الإسلام العامة إلى الوجود وآثرها في الحضارة)، (القرآن عربي الخطاب إنساني الرسالة)، (من منهل الأدب الخالد)، (المجتمع الإسلامي المعاصر)، (بين الثقافتين الغربية والإسلامية). وله مقالات عديدة. توفي فجأة بالمدينة المنورة. ودفن بالبقيع.</w:t>
      </w:r>
    </w:p>
    <w:p/>
    <w:p>
      <w:pPr>
        <w:jc w:val="start"/>
        <w:bidi/>
      </w:pPr>
      <w:r>
        <w:rPr>
          <w:sz w:val="24"/>
          <w:szCs w:val="24"/>
          <w:b w:val="1"/>
          <w:bCs w:val="1"/>
          <w:rtl/>
        </w:rPr>
        <w:t xml:space="preserve">
إتمام الأعلام،(دار صادر - بيروت،1999،ط 1،ج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2026-07-27T08:28:26+03:00</dcterms:created>
  <dcterms:modified xsi:type="dcterms:W3CDTF">2026-07-27T08:28:26+03:00</dcterms:modified>
</cp:coreProperties>
</file>

<file path=docProps/custom.xml><?xml version="1.0" encoding="utf-8"?>
<Properties xmlns="http://schemas.openxmlformats.org/officeDocument/2006/custom-properties" xmlns:vt="http://schemas.openxmlformats.org/officeDocument/2006/docPropsVTypes"/>
</file>