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الزيتوني
</w:t>
      </w:r>
    </w:p>
    <w:p>
      <w:pPr>
        <w:jc w:val="start"/>
        <w:bidi/>
      </w:pPr>
      <w:r>
        <w:rPr>
          <w:rFonts w:ascii="arial" w:hAnsi="arial" w:eastAsia="arial" w:cs="arial"/>
          <w:sz w:val="28"/>
          <w:szCs w:val="28"/>
          <w:b w:val="1"/>
          <w:bCs w:val="1"/>
          <w:rtl/>
        </w:rPr>
        <w:t xml:space="preserve">الزيتوني
</w:t>
      </w:r>
    </w:p>
    <w:p>
      <w:pPr/>
      <w:r>
        <w:rPr/>
        <w:t xml:space="preserve">الزيتوني  محمد بن الطيب الزيتوني: من كبار العلماء المجاهدين في المغرب. وولد في فاس وكان أبوه من كبار علماء الزيتونة وبها لقبت أسرته المعروفة بالعلم والصلاح والمكانة. وشارك معه في ثورة مدينة فاس ضد الفرنسيين بناء على طلب السلطان عبد الحفيظ، كما شارك القبائل في مقاومة الاحتلال وفي مقاومة الظهير البربري الأول الصادر عام 1914 وفي ثورة الريف ضد الإسبان فعمل تحت قيادة عبد الكريم الخطابي وكان معه على علاقة وثيقة. ولما صدر الظهير البربري الثاني عام 1930 تحت ضغط الفرنسيين شارك في مقاومته مع الشباب والعلماء. وشن حملات التضامن مع معتقلي الشبان وندد بحملات التعذيب التي تعرضوا لها، فأوذي بأسرته واعتقل.</w:t>
      </w:r>
    </w:p>
    <w:p/>
    <w:p>
      <w:pPr>
        <w:jc w:val="start"/>
        <w:bidi/>
      </w:pPr>
      <w:r>
        <w:rPr>
          <w:sz w:val="24"/>
          <w:szCs w:val="24"/>
          <w:b w:val="1"/>
          <w:bCs w:val="1"/>
          <w:rtl/>
        </w:rPr>
        <w:t xml:space="preserve">
إتمام الأعلام،(دار صادر - بيروت،1999،ط 1،ج 1،ص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2026-07-27T14:03:38+03:00</dcterms:created>
  <dcterms:modified xsi:type="dcterms:W3CDTF">2026-07-27T14:03:38+03:00</dcterms:modified>
</cp:coreProperties>
</file>

<file path=docProps/custom.xml><?xml version="1.0" encoding="utf-8"?>
<Properties xmlns="http://schemas.openxmlformats.org/officeDocument/2006/custom-properties" xmlns:vt="http://schemas.openxmlformats.org/officeDocument/2006/docPropsVTypes"/>
</file>