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الأميني
</w:t>
      </w:r>
    </w:p>
    <w:p>
      <w:pPr>
        <w:jc w:val="start"/>
        <w:bidi/>
      </w:pPr>
      <w:r>
        <w:rPr>
          <w:rFonts w:ascii="arial" w:hAnsi="arial" w:eastAsia="arial" w:cs="arial"/>
          <w:sz w:val="28"/>
          <w:szCs w:val="28"/>
          <w:b w:val="1"/>
          <w:bCs w:val="1"/>
          <w:rtl/>
        </w:rPr>
        <w:t xml:space="preserve">الأميني
</w:t>
      </w:r>
    </w:p>
    <w:p>
      <w:pPr/>
      <w:r>
        <w:rPr/>
        <w:t xml:space="preserve">الأميني  محمد تقي الأميني: فقيه باحث. ولد بالهند، وتعلم بها، وتابع دراسته بجامعة عليكرة. من مؤلفاته (دراسة حول الاجتهاد)، (الخلفية التاريخية للفقه الإسلامي)، (النظام الزراعي للإسلام)، (التشكيل الجديد للحضارة)، (مقياس الدراية في أحاديث الرسول صلى الله عليه وسلم)، (الخلفية التاريخية لعهد اللا دينية).</w:t>
      </w:r>
    </w:p>
    <w:p/>
    <w:p>
      <w:pPr>
        <w:jc w:val="start"/>
        <w:bidi/>
      </w:pPr>
      <w:r>
        <w:rPr>
          <w:sz w:val="24"/>
          <w:szCs w:val="24"/>
          <w:b w:val="1"/>
          <w:bCs w:val="1"/>
          <w:rtl/>
        </w:rPr>
        <w:t xml:space="preserve">
إتمام الأعلام،(دار صادر - بيروت،1999،ط 1،ج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2026-07-26T00:03:05+03:00</dcterms:created>
  <dcterms:modified xsi:type="dcterms:W3CDTF">2026-07-26T00:03:05+03:00</dcterms:modified>
</cp:coreProperties>
</file>

<file path=docProps/custom.xml><?xml version="1.0" encoding="utf-8"?>
<Properties xmlns="http://schemas.openxmlformats.org/officeDocument/2006/custom-properties" xmlns:vt="http://schemas.openxmlformats.org/officeDocument/2006/docPropsVTypes"/>
</file>