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فريد جبر
</w:t>
      </w:r>
    </w:p>
    <w:p>
      <w:pPr>
        <w:jc w:val="start"/>
        <w:bidi/>
      </w:pPr>
      <w:r>
        <w:rPr>
          <w:rFonts w:ascii="arial" w:hAnsi="arial" w:eastAsia="arial" w:cs="arial"/>
          <w:sz w:val="28"/>
          <w:szCs w:val="28"/>
          <w:b w:val="1"/>
          <w:bCs w:val="1"/>
          <w:rtl/>
        </w:rPr>
        <w:t xml:space="preserve">فريد جبر
</w:t>
      </w:r>
    </w:p>
    <w:p>
      <w:pPr/>
      <w:r>
        <w:rPr/>
        <w:t xml:space="preserve">فريد جبر  فريد جبر: باحث في الفلسفة من أهالي لبنان. من رجال الكهنوت. تعلم اللاهوت المسيحي، وانجذب إلى الفلسفة الإسلامية فكان أحد المهتمين بها. نال درجة الدكتوراه من السوربون، وعمل أستاذا في الجامعات العربية والأجنبية ونصب رئيسا على الآباء اللعازاريين. كتب (مفهوم اليقين عند الغزالي). وترجم لأرسطو مجموعته المنطقية، كما ترجم لأفلاطون. ومن مترجماته (فلسفة الفكر الديني بين الإسلام والمسيحية).</w:t>
      </w:r>
    </w:p>
    <w:p/>
    <w:p>
      <w:pPr>
        <w:jc w:val="start"/>
        <w:bidi/>
      </w:pPr>
      <w:r>
        <w:rPr>
          <w:sz w:val="24"/>
          <w:szCs w:val="24"/>
          <w:b w:val="1"/>
          <w:bCs w:val="1"/>
          <w:rtl/>
        </w:rPr>
        <w:t xml:space="preserve">
إتمام الأعلام،(دار صادر - بيروت،1999،ط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فريد جبر 
</w:t>
      </w:r>
    </w:p>
    <w:p>
      <w:pPr/>
      <w:r>
        <w:rPr/>
        <w:t xml:space="preserve">مفكر؛ باحث.</w:t>
      </w:r>
    </w:p>
    <w:p/>
    <w:p>
      <w:pPr/>
      <w:r>
        <w:rPr/>
        <w:t xml:space="preserve">من لبنان. حصل على الدكتوراه من السوربون عام 1955 م، وقام بالتدريس في جامعات عربية وأجنبية.</w:t>
      </w:r>
    </w:p>
    <w:p/>
    <w:p>
      <w:pPr/>
      <w:r>
        <w:rPr/>
        <w:t xml:space="preserve">وعلى الرغم من دراسته اللاهوت وترسيمه رئيساً على الآباء العازاريين، إلا أنه انجذب للفلسفة الإسلامية فكتب: ’’مفهوم اليقين عند الغزالي’’، ’’مفهوم المعرفة عند الغزالي’’، ثم ’’معجم الغزالي’’.</w:t>
      </w:r>
    </w:p>
    <w:p/>
    <w:p>
      <w:pPr/>
      <w:r>
        <w:rPr/>
        <w:t xml:space="preserve">وله إسهامات أخرى متنوعة من بينها:</w:t>
      </w:r>
    </w:p>
    <w:p/>
    <w:p>
      <w:pPr/>
      <w:r>
        <w:rPr/>
        <w:t xml:space="preserve">- مذكرات المرشال مونتغمري: فيكونت العلمين (ترجمة) - ط 2 - بيروت: دار الثقافة، 1382 هـ، 378 ص.</w:t>
      </w:r>
    </w:p>
    <w:p/>
    <w:p>
      <w:pPr/>
      <w:r>
        <w:rPr/>
        <w:t xml:space="preserve">- تاسوعات أفلوطين.</w:t>
      </w:r>
    </w:p>
    <w:p/>
    <w:p>
      <w:pPr/>
      <w:r>
        <w:rPr/>
        <w:t xml:space="preserve">- فلسفة الفكر الديني بين الإسلام والمسيحية / لويس غردية، جورج قنواني (ترجمة بالاشتراك مع صبحي الصالح) - ط 2 - بيروت: دار العلم للملايين، 1398 - 1403 هـ، 3 مج.</w:t>
      </w:r>
    </w:p>
    <w:p/>
    <w:p>
      <w:pPr/>
      <w:r>
        <w:rPr/>
        <w:t xml:space="preserve">- النص الكامل لمنطق أرسطو: المجموعة الكاملة (تحقيق)؛ مراجعة جيرار جيهامي، رفيق العجم - بيروت: دار الفكر اللبناني.</w:t>
      </w:r>
    </w:p>
    <w:p/>
    <w:p>
      <w:pPr/>
      <w:r>
        <w:rPr/>
        <w:t xml:space="preserve">تحوي: المقولات، العبارة، القياس، البرهان الجدل، المغالطة.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2026-05-28T21:13:50+03:00</dcterms:created>
  <dcterms:modified xsi:type="dcterms:W3CDTF">2026-05-28T21:13:50+03:00</dcterms:modified>
</cp:coreProperties>
</file>

<file path=docProps/custom.xml><?xml version="1.0" encoding="utf-8"?>
<Properties xmlns="http://schemas.openxmlformats.org/officeDocument/2006/custom-properties" xmlns:vt="http://schemas.openxmlformats.org/officeDocument/2006/docPropsVTypes"/>
</file>