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بكداش
</w:t>
      </w:r>
    </w:p>
    <w:p>
      <w:pPr>
        <w:jc w:val="start"/>
        <w:bidi/>
      </w:pPr>
      <w:r>
        <w:rPr>
          <w:rFonts w:ascii="arial" w:hAnsi="arial" w:eastAsia="arial" w:cs="arial"/>
          <w:sz w:val="28"/>
          <w:szCs w:val="28"/>
          <w:b w:val="1"/>
          <w:bCs w:val="1"/>
          <w:rtl/>
        </w:rPr>
        <w:t xml:space="preserve">خالد بكداش
</w:t>
      </w:r>
    </w:p>
    <w:p>
      <w:pPr/>
      <w:r>
        <w:rPr/>
        <w:t xml:space="preserve">خالد بكداش  خالد بن محمد قوطرش بكداش: من زعماء الحزب الشيوعي بسورية، ولد بدمشق وتعلم بها، وانتسب إلى معهد الحقوق بها، ولكنه لم يتابع واقتصر على الدراسات الشخصية في الاقتصاد والعلوم السياسية، وأتقن الفرنسية والروسية، اشتغل في الصحافة محررا في عدد من الجرائد، وانتسب عام 1930 إلى الحزب الشيوعي وانتخب أمينا له ثم رئيسا، فاعتقل وسجن مرات، ترأس الوفود العربية إلى المؤتمر السابع للأممية الشيوعية في موسكو عام 1935، وسافر إلى فرنسا السنة التالية لمساعدة الوفد السوري في معركة المعاهدة بباريس، انتخب نائبا في البرلمان السوري، ترك دراسات وكراسات وكتيبات منها (اتحاد الشعب موت الرجعية)، خطاب (العرب والحرب الأهلية في إسبانيا)، (الحزب الشيوعي في النضال لأجل الاستقلال والسيادة الوطنية)، (القومية والشيوعية)، (عمر فاخوري أديب الحرية والثورة)، (العلاقات بين البلاد العربية والاتحاد السوفييتي)، (حزب العمال والفلاحين)، (التنظيم والنجاح)، (الحزب الشيوعي في سورية ولبنان)، (في سبيل انتصار مبادئ الماركسية اللينينية والأمم البروليتارية).</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2026-07-27T09:35:11+03:00</dcterms:created>
  <dcterms:modified xsi:type="dcterms:W3CDTF">2026-07-27T09:35:11+03:00</dcterms:modified>
</cp:coreProperties>
</file>

<file path=docProps/custom.xml><?xml version="1.0" encoding="utf-8"?>
<Properties xmlns="http://schemas.openxmlformats.org/officeDocument/2006/custom-properties" xmlns:vt="http://schemas.openxmlformats.org/officeDocument/2006/docPropsVTypes"/>
</file>