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w:t>
      </w:r>
    </w:p>
    <w:p>
      <w:pPr>
        <w:jc w:val="start"/>
        <w:bidi/>
      </w:pPr>
      <w:r>
        <w:rPr>
          <w:rFonts w:ascii="arial" w:hAnsi="arial" w:eastAsia="arial" w:cs="arial"/>
          <w:sz w:val="28"/>
          <w:szCs w:val="28"/>
          <w:b w:val="1"/>
          <w:bCs w:val="1"/>
          <w:rtl/>
        </w:rPr>
        <w:t xml:space="preserve">المدني
</w:t>
      </w:r>
    </w:p>
    <w:p>
      <w:pPr/>
      <w:r>
        <w:rPr/>
        <w:t xml:space="preserve">المدني  أحمد توفيق بن محمد بن أحمد المدني: من المؤرخين السياسيين ولد بتونس لأبوين مهاجرين من الجزائر. أنهى دراسته بجامع الزيتونة. اعتقله الفرنسيون في مناسبات عديدة. وأصبح عضوا في المجلس الوطني للثورة الجزائرية عام 1954 وشغل مناصب مهمة في أثنائها وكان محررا بمجلة الفجر لسان حال الحزب الدستوري الناشئ في الجزائر حينئذ، ثم ترأس تحريرها. ثم اختير وزيرا للثقافة في الحكومة المؤقتة ثم ممثلا لبلاده بدرجة سفير لدى مصر وجامعة الدول العربية ثم كان وزيرا للأوقاف فسفيرا في العراق وتركية وإيران. لكنه انسحب من الحياة العامة وتفرغ للأدب والتاريخ. له (تقويم المنصور)، (الجزائر)، (المسلمون في جزيرة صقلية وجنوب إيطالية)، (رواية عن كفاح قرطاجنة)، (الحرية ثمن الجهاد)، (حياة كفاح)، (قرطاجنة أربعة عصور). وقد اختير عضوا في مجمع اللغة العربية بالقاهرة.</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2026-07-23T18:34:54+03:00</dcterms:created>
  <dcterms:modified xsi:type="dcterms:W3CDTF">2026-07-23T18:34:54+03:00</dcterms:modified>
</cp:coreProperties>
</file>

<file path=docProps/custom.xml><?xml version="1.0" encoding="utf-8"?>
<Properties xmlns="http://schemas.openxmlformats.org/officeDocument/2006/custom-properties" xmlns:vt="http://schemas.openxmlformats.org/officeDocument/2006/docPropsVTypes"/>
</file>