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الجمال المصري
</w:t>
      </w:r>
    </w:p>
    <w:p>
      <w:pPr>
        <w:jc w:val="start"/>
        <w:bidi/>
      </w:pPr>
      <w:r>
        <w:rPr>
          <w:rFonts w:ascii="arial" w:hAnsi="arial" w:eastAsia="arial" w:cs="arial"/>
          <w:sz w:val="28"/>
          <w:szCs w:val="28"/>
          <w:b w:val="1"/>
          <w:bCs w:val="1"/>
          <w:rtl/>
        </w:rPr>
        <w:t xml:space="preserve">الجمال المصري
</w:t>
      </w:r>
    </w:p>
    <w:p>
      <w:pPr/>
      <w:r>
        <w:rPr/>
        <w:t xml:space="preserve">الجمال المصري  يونس بن بدران بن فيروز بن صاعد، الشيبى القرشى الحجازى الأصل، أبو الوليد، جمال الدين المصرى: قاضى القضاة بدمشق. ولد بمصر. وأخذ عن السلفى وغيره. وولى الوكالة السلطانية بالشام، فدرس بالأمينية والعادلية. وترسل عن (الملك العادل) إلى الخليفة، وإلى الملوك بالروم، وبلاد الشرق. واختصر كتاب (الأم) للشافعى، وصنف فى (الفرائض) وجمع لنفسه (ثبتا -خ) ولما مات (العادل) ولاه (المعظم) قضاء القضاة بالشام (سنة 619) وتوفى بدمشق، ودفن بداره. قال ابن العماد: وقد تكلم فى نسبه. </w:t>
      </w:r>
    </w:p>
    <w:p>
      <w:pPr>
        <w:jc w:val="start"/>
        <w:bidi/>
      </w:pPr>
      <w:r>
        <w:rPr>
          <w:sz w:val="24"/>
          <w:szCs w:val="24"/>
          <w:b w:val="1"/>
          <w:bCs w:val="1"/>
          <w:rtl/>
        </w:rPr>
        <w:t xml:space="preserve">
الأعلام،(دار العلم للملايين - بيروت،2002،ط 15،ج 8،ص 260)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2026-07-27T05:08:08+03:00</dcterms:created>
  <dcterms:modified xsi:type="dcterms:W3CDTF">2026-07-27T05:08:08+03:00</dcterms:modified>
</cp:coreProperties>
</file>

<file path=docProps/custom.xml><?xml version="1.0" encoding="utf-8"?>
<Properties xmlns="http://schemas.openxmlformats.org/officeDocument/2006/custom-properties" xmlns:vt="http://schemas.openxmlformats.org/officeDocument/2006/docPropsVTypes"/>
</file>