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يحيى بن محمد بن أبي المكارم المرداوي الأصل الصالحي المؤدب، شمس الدين أبو عبد الله
</w:t>
      </w:r>
    </w:p>
    <w:p>
      <w:pPr>
        <w:jc w:val="start"/>
        <w:bidi/>
      </w:pPr>
      <w:r>
        <w:rPr>
          <w:rFonts w:ascii="arial" w:hAnsi="arial" w:eastAsia="arial" w:cs="arial"/>
          <w:sz w:val="28"/>
          <w:szCs w:val="28"/>
          <w:b w:val="1"/>
          <w:bCs w:val="1"/>
          <w:rtl/>
        </w:rPr>
        <w:t xml:space="preserve">محمد بن أحمد بن محمد بن يحيى بن محمد بن أبي المكارم المرداوي الأصل الصالحي المؤدب، شمس الدين أبو عبد الله
</w:t>
      </w:r>
    </w:p>
    <w:p>
      <w:pPr/>
      <w:r>
        <w:rPr/>
        <w:t xml:space="preserve">محمد بن أحمد بن محمد بن يحيى بن محمد بن أبي المكارم المرداوي الأصل الصالحي المؤدب، شمس الدين أبو عبد الله. سمع من ابن البخاري وحدث. سمع منه الذهبي وذكره في ’’معجمه’’. وكان رجلا جيدا له مكتب يعلم فيه الصبيان الكتابة، وكتابته جيدة. كتب على الشيخ نجم الدين ابن البصبص، وله هيبة على الصبيان.</w:t>
      </w:r>
    </w:p>
    <w:p/>
    <w:p>
      <w:pPr/>
      <w:r>
        <w:rPr/>
        <w:t xml:space="preserve">مات في ليلة الاثنين رابع عشر شوال سنة تسع وأربعين وسبع مئة، ودفن من الغد بسفح قاسيون.</w:t>
      </w:r>
    </w:p>
    <w:p/>
    <w:p>
      <w:pPr/>
      <w:r>
        <w:rPr/>
        <w:t xml:space="preserve">سمعت عليه ’’جزء الأنصاري’’ بسماعه من ابن البخاري، بسماعه من الشيخين ابن طبرزد والكندي، بسماعهما من القاضي أبي بكر الأنصاري، بسنده.</w:t>
      </w:r>
    </w:p>
    <w:p/>
    <w:p>
      <w:pPr/>
      <w:r>
        <w:rPr/>
        <w:t xml:space="preserve">أخبرنا الشيخ الصالح شمس الدين أبو عبد الله محمد بن أحمد بن محمد بن يحيى المؤدب قراءة عليه وأنا أسمع، قال: أخبرنا الشيخ فخر الدين أبو الحسن علي بن أحمد بن عبد الواحد ابن البخاري قراءة عليه، قال: أخبرنا الشيخان أبو اليمن زيد بن الحسن الكندي وأبو حفص عمر بن محمد بن معمر بن طبرزد المؤدب؛ قالا: أخبرنا القاضي أبو بكر محمد بن عبد الباقي الأنصاري، قال: أخبرنا أبو إسحاق إبراهيم بن عمر بن أحمد البرمكي، قال: أخبرنا أبو محمد بن ماسي، قال: أخبرنا أبو مسلم إبراهيم بن عبد الله الكجي البصري، قال: حدثنا محمد بن عبد الله الأنصاري، قال: حدثنا هشام، عن الحسن، عن عبد الله بن مغفل رضي الله عنه: أن رسول الله صلى الله عليه وسلم نهى عن الترجل إلا غبا.</w:t>
      </w:r>
    </w:p>
    <w:p/>
    <w:p>
      <w:pPr/>
      <w:r>
        <w:rPr/>
        <w:t xml:space="preserve">أخرجه أبو داود في الترجل عن مسدد، عن يحيى. وأخرجه الترمذي في اللباس عن علي بن خشرم، عن عيسى بن يونس. وعن ابن بشار، عن يحيى بن سعيد؛ كلاهما عن هشام بن حسان، به. فوقع لنا عاليا بدرجتين.</w:t>
      </w:r>
    </w:p>
    <w:p>
      <w:pPr>
        <w:jc w:val="start"/>
        <w:bidi/>
      </w:pPr>
      <w:r>
        <w:rPr>
          <w:sz w:val="24"/>
          <w:szCs w:val="24"/>
          <w:b w:val="1"/>
          <w:bCs w:val="1"/>
          <w:rtl/>
        </w:rPr>
        <w:t xml:space="preserve">
معجم الشيوخ للسبكي،(دار الغرب الإسلامي،2004،ط 1،ج 1،ص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2026-07-27T10:36:58+03:00</dcterms:created>
  <dcterms:modified xsi:type="dcterms:W3CDTF">2026-07-27T10:36:58+03:00</dcterms:modified>
</cp:coreProperties>
</file>

<file path=docProps/custom.xml><?xml version="1.0" encoding="utf-8"?>
<Properties xmlns="http://schemas.openxmlformats.org/officeDocument/2006/custom-properties" xmlns:vt="http://schemas.openxmlformats.org/officeDocument/2006/docPropsVTypes"/>
</file>