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منصور
</w:t>
      </w:r>
    </w:p>
    <w:p>
      <w:pPr>
        <w:jc w:val="start"/>
        <w:bidi/>
      </w:pPr>
      <w:r>
        <w:rPr>
          <w:rFonts w:ascii="arial" w:hAnsi="arial" w:eastAsia="arial" w:cs="arial"/>
          <w:sz w:val="28"/>
          <w:szCs w:val="28"/>
          <w:b w:val="1"/>
          <w:bCs w:val="1"/>
          <w:rtl/>
        </w:rPr>
        <w:t xml:space="preserve">يزيد بن منصور
</w:t>
      </w:r>
    </w:p>
    <w:p>
      <w:pPr/>
      <w:r>
        <w:rPr/>
        <w:t xml:space="preserve">يزيد بن منصور  يزيد بن منصور بن عبد الله بن يزيد ابن شهر بن مثوب، من ولد ذى الجناح الحميرى، أبو خالد: وال. هو خال المهدى العباسى. كان مقدما فى دولة بنى العباس. ولى للمنصور البصرة (سنة 152) ثم اليمن (سنة 154) بعد الفرات بن سالم. وأقام فى اليمن باقى خلافة المنصور، وسنة من خلافة المهدى. وعزل (سنة 159) وولاه المهدى (سنة 161) على سواد الكوفة. ومات بالبصرة. ولبشار بن برد، هجاء فيه. وبقى من أعقابه جماعة كانوا يعرفون باليزيدية. وإليه نسبة يحيى بن المبارك العدوى اليزيدى. كان يؤدب ولده، فنسب إليه. </w:t>
      </w:r>
    </w:p>
    <w:p>
      <w:pPr>
        <w:jc w:val="start"/>
        <w:bidi/>
      </w:pPr>
      <w:r>
        <w:rPr>
          <w:sz w:val="24"/>
          <w:szCs w:val="24"/>
          <w:b w:val="1"/>
          <w:bCs w:val="1"/>
          <w:rtl/>
        </w:rPr>
        <w:t xml:space="preserve">
الأعلام،(دار العلم للملايين - بيروت،2002،ط 15،ج 8،ص 189)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2026-07-27T08:11:35+03:00</dcterms:created>
  <dcterms:modified xsi:type="dcterms:W3CDTF">2026-07-27T08:11:35+03:00</dcterms:modified>
</cp:coreProperties>
</file>

<file path=docProps/custom.xml><?xml version="1.0" encoding="utf-8"?>
<Properties xmlns="http://schemas.openxmlformats.org/officeDocument/2006/custom-properties" xmlns:vt="http://schemas.openxmlformats.org/officeDocument/2006/docPropsVTypes"/>
</file>