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النحوي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النحوي المصري
</w:t>
      </w:r>
    </w:p>
    <w:p>
      <w:pPr/>
      <w:r>
        <w:rPr/>
        <w:t xml:space="preserve">أحمد بن محمد النحوي المصري العالم الفاضل المحقق الإمام الحافظ أبو جعفر</w:t>
      </w:r>
    </w:p>
    <w:p/>
    <w:p>
      <w:pPr/>
      <w:r>
        <w:rPr/>
        <w:t xml:space="preserve">قد صنف التفسير اشتهر اسمه بتفسير النحاس تصدى فيه</w:t>
      </w:r>
    </w:p>
    <w:p/>
    <w:p>
      <w:pPr/>
      <w:r>
        <w:rPr/>
        <w:t xml:space="preserve">إلى الإعراب وذكر القراءات التي يحتاج إلى بيان إعرابها والمعاني التي لابد من كشفها</w:t>
      </w:r>
    </w:p>
    <w:p/>
    <w:p>
      <w:pPr/>
      <w:r>
        <w:rPr/>
        <w:t xml:space="preserve">وكانت وفاته في سنة ثمان وثلاثين وثمانمائة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2026-07-27T14:26:29+03:00</dcterms:created>
  <dcterms:modified xsi:type="dcterms:W3CDTF">2026-07-27T14:26:29+03:00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