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صبغة الله
</w:t>
      </w:r>
    </w:p>
    <w:p>
      <w:pPr>
        <w:jc w:val="start"/>
        <w:bidi/>
      </w:pPr>
      <w:r>
        <w:rPr>
          <w:rFonts w:ascii="arial" w:hAnsi="arial" w:eastAsia="arial" w:cs="arial"/>
          <w:sz w:val="28"/>
          <w:szCs w:val="28"/>
          <w:b w:val="1"/>
          <w:bCs w:val="1"/>
          <w:rtl/>
        </w:rPr>
        <w:t xml:space="preserve">عيسى بن صبغة الله
</w:t>
      </w:r>
    </w:p>
    <w:p>
      <w:pPr/>
      <w:r>
        <w:rPr/>
        <w:t xml:space="preserve">عيسى بن صبغة الله عيسى بن صبغة الله بن إبراهيم بن حيدر بن أحمد بن حيدر الكردي الصفوي الشافعي نزيل بغداد الشيخ الامام العالم المحقق المدقق الفقيه البارع الأوحد أبو الروح شرف الدين ولد في سنة سبع وأربعين ومائة وألف وأخذ عن والده المحقق المشهور وعن غيره وظهر فضله وصار أشهر علماء بغداد ذو فطنة وقادة وذكاء تام وكان له اشتغال كلي في العلوم كلها قد بالغ في استخراج مشكلات العلوم معقولا ومنقولا وله تآليف حسنة منها حاشية على جزء عبارات التحفة للشهاب الهيثمي وحاشية على حاشية عبد الحكيم على شرح الكافية للجامي وله رسائل عدة في متفرقات من العلوم وحج قبل وفاته بقليل ودخل في طريقه إلى دمشق وأخذ عنه بعض أفاضلها وكان رحمه الله تعالى ذا سعة زائدة في تحرير المسائل توفي ببغداد سنة تسعين ومائة وألف ودفن بها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2026-04-29T19:19:11+03:00</dcterms:created>
  <dcterms:modified xsi:type="dcterms:W3CDTF">2026-04-29T19:19:11+03:00</dcterms:modified>
</cp:coreProperties>
</file>

<file path=docProps/custom.xml><?xml version="1.0" encoding="utf-8"?>
<Properties xmlns="http://schemas.openxmlformats.org/officeDocument/2006/custom-properties" xmlns:vt="http://schemas.openxmlformats.org/officeDocument/2006/docPropsVTypes"/>
</file>