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الفتوحي بن النجار الحنبلي
</w:t>
      </w:r>
    </w:p>
    <w:p>
      <w:pPr>
        <w:jc w:val="start"/>
        <w:bidi/>
      </w:pPr>
      <w:r>
        <w:rPr>
          <w:rFonts w:ascii="arial" w:hAnsi="arial" w:eastAsia="arial" w:cs="arial"/>
          <w:sz w:val="28"/>
          <w:szCs w:val="28"/>
          <w:b w:val="1"/>
          <w:bCs w:val="1"/>
          <w:rtl/>
        </w:rPr>
        <w:t xml:space="preserve">أبو بكر الفتوحي بن النجار الحنبلي
</w:t>
      </w:r>
    </w:p>
    <w:p>
      <w:pPr/>
      <w:r>
        <w:rPr/>
        <w:t xml:space="preserve">أبو بكر الفتوحي بن النجار الحنبلي أبو بكر بن أحمد الشيخ الإمام العلامة الشيخ تقي الدين ابن قاضي القضاة شهاب الدين الفتوحي، الشهير بابن النجار الحنبلي القاهري. أخذ عن والده وغيره وولي نيابة القضاء بسؤال معظم أهل مصر، وانتهت إليه رئاسة من مذهبه، وكان الشيخ شهاب الدين الرملي يقول: إذا مات مات مذهب الإمام أحمد كما نقله الشعراوي، ولم يؤرخ وفاته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2026-07-27T10:22:08+03:00</dcterms:created>
  <dcterms:modified xsi:type="dcterms:W3CDTF">2026-07-27T10:22:08+03:00</dcterms:modified>
</cp:coreProperties>
</file>

<file path=docProps/custom.xml><?xml version="1.0" encoding="utf-8"?>
<Properties xmlns="http://schemas.openxmlformats.org/officeDocument/2006/custom-properties" xmlns:vt="http://schemas.openxmlformats.org/officeDocument/2006/docPropsVTypes"/>
</file>