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الشغري
</w:t>
      </w:r>
    </w:p>
    <w:p>
      <w:pPr>
        <w:jc w:val="start"/>
        <w:bidi/>
      </w:pPr>
      <w:r>
        <w:rPr>
          <w:rFonts w:ascii="arial" w:hAnsi="arial" w:eastAsia="arial" w:cs="arial"/>
          <w:sz w:val="28"/>
          <w:szCs w:val="28"/>
          <w:b w:val="1"/>
          <w:bCs w:val="1"/>
          <w:rtl/>
        </w:rPr>
        <w:t xml:space="preserve">محمد بن إبراهيم الشغري
</w:t>
      </w:r>
    </w:p>
    <w:p>
      <w:pPr/>
      <w:r>
        <w:rPr/>
        <w:t xml:space="preserve">محمد بن إبراهيم الشغري محمد بن إبراهيم بن محمد الشيخ العالم شمس الدين الشغري ثم الرومي، ثم اللادقي، ثم الحلبي الشافعي الخلواني أشغله والده، وهو خطيب جامع الروضة من معاملة الشغر في طلب العلم، فقرأ النحو على الشيخ، إبراهيم الخانوتي، والفقه على الشيخ داود القصيري، وتفقه بحلب على البرهان العمادي، والشيخ عبد الرحمن بن القصاب، وكان له إفراط ذكاء، وقوة حفظ، وكان يستحضر شرح البهجة للقاضي زكريا طالعه مرة واحدة فعلق بذهنه، وأخذ الطريق عن الشيخ أحمد بن عبدو القصيري، ثم أشغل الطلبة باللاذقية، واعتقد أهلها لصلاحه، ونورانية شكله، ولعله مات في هذه الطبقة، وكان موجودا في سنة أربع وستين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2026-07-23T18:26:37+03:00</dcterms:created>
  <dcterms:modified xsi:type="dcterms:W3CDTF">2026-07-23T18:26:37+03:00</dcterms:modified>
</cp:coreProperties>
</file>

<file path=docProps/custom.xml><?xml version="1.0" encoding="utf-8"?>
<Properties xmlns="http://schemas.openxmlformats.org/officeDocument/2006/custom-properties" xmlns:vt="http://schemas.openxmlformats.org/officeDocument/2006/docPropsVTypes"/>
</file>