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المغربي
</w:t>
      </w:r>
    </w:p>
    <w:p>
      <w:pPr>
        <w:jc w:val="start"/>
        <w:bidi/>
      </w:pPr>
      <w:r>
        <w:rPr>
          <w:rFonts w:ascii="arial" w:hAnsi="arial" w:eastAsia="arial" w:cs="arial"/>
          <w:sz w:val="28"/>
          <w:szCs w:val="28"/>
          <w:b w:val="1"/>
          <w:bCs w:val="1"/>
          <w:rtl/>
        </w:rPr>
        <w:t xml:space="preserve">محمد المغربي
</w:t>
      </w:r>
    </w:p>
    <w:p>
      <w:pPr/>
      <w:r>
        <w:rPr/>
        <w:t xml:space="preserve">محمد المغربي محمد المغربي: محمد المغربي، الشيخ الصالح العالم، الزاهد الورع المسلك، المربي العارف بالله تعالى سيدي شمس الدين، المعروف بالمغربي، الشاذلي بالقاهرة. قال الشيخ عبد الوهاب: أخذ الطريق عن سيدي أبي العباس المرسي تلميذ سيدي شمس الدين الحنفي، وكان من أولاد الأتراك، وإنما اشتهر بالمغربي لكون أمه تزوجت مغربيا، وكان الغالب عليه الاستغراق، وكان بخيلا في الكلام بالطريق، عزيز النطق بما يتعلق بها، وذلك من أعظم الأدلة على صدقه وعلو شأنه. وقال في الطبقات الوسطى: اجتمعت به مرة واحدة ذكروا أنه أقام في القطبية ثلاث سنين، وكان كريم النفس، يعطي السائل الألف كأنه لم يعطه شيئا، وكان ينفق النفقة الواسعة من الغيب، و كثيرا ما كان يأتيه المدين، فيقول: يا سيدي ساعدني في وفاء ديني، فيقول له: ارفع طرف الحصير، وخذ ما تحته، فربما رأى تحته أكثر من ديونه، فيقول له: اوف دينك وتوسع بالباقي، وكان مع كثرة إعطاءاته يفت الرغيف اليابس في الماء ويأكله وينشد:</w:t>
      </w:r>
    </w:p>
    <w:p/>
    <w:p>
      <w:pPr>
        <w:jc w:val="center"/>
      </w:pPr>
      <w:r>
        <w:rPr>
          <w:color w:val="ff0000"/>
        </w:rPr>
        <w:t xml:space="preserve">اقنع بلقمة وشربة ماء ولبس الخيش</w:t>
      </w:r>
      <w:r>
        <w:rPr>
          <w:color w:val="ff0000"/>
        </w:rPr>
        <w:t xml:space="preserve">      </w:t>
      </w:r>
      <w:r>
        <w:rPr>
          <w:color w:val="ff0000"/>
        </w:rPr>
        <w:t xml:space="preserve">وقل لقلبك ملوك الأرض راحوا بيش</w:t>
      </w:r>
    </w:p>
    <w:p/>
    <w:p>
      <w:pPr/>
      <w:r>
        <w:rPr/>
        <w:t xml:space="preserve">ودخل عليه السلطان قايتباي يزوره، ورسم له بألف دينار، فردها وأنشد البيت، فبكى السلطان قايتباي حتى بل منديله، وقال له: فرقها على المحبين، فقال له: من تعب في تحصيلها فهو أولى بتفرقتها، ثم قال: من كانت الحقيقة تتصرف فيه فلا اختيار له مع الله تعالى، ولم يقبل الألف دينار، وكان يقول: من أكثر على الله الرد، فهو من أهل الطرد، وكان علماء مصر قاطبة يذعنون له في العلوم العقلية والوهبية ويستفيدون منه العلوم التي لم تطرق سمعهم قط، وذكر الحمصي: أنه كان مقيما بقنطرة سنقر بالقاهرة، وكان له كشف وكرامات ظاهرة.قلت: وهو ممن صحبهم شيخ الإسلام الجد من أولياء الله تعالى في طريق الله تعالى كما ذكره في قائمة كتبها بخطه، وكانت وفاته يوم الاثنين سادس جمادى الآخرة سنة إحدى عشرة وتسعمئة بمنزله بقنطرة سنقر. قال الشيخ عبد الوهاب في الطبقات الوسطى: ودفن قريبا من باب القرافة وقبره ظاهر يزار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2026-06-17T05:01:54+03:00</dcterms:created>
  <dcterms:modified xsi:type="dcterms:W3CDTF">2026-06-17T05:01:54+03:00</dcterms:modified>
</cp:coreProperties>
</file>

<file path=docProps/custom.xml><?xml version="1.0" encoding="utf-8"?>
<Properties xmlns="http://schemas.openxmlformats.org/officeDocument/2006/custom-properties" xmlns:vt="http://schemas.openxmlformats.org/officeDocument/2006/docPropsVTypes"/>
</file>