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هلال النحوي
</w:t>
      </w:r>
    </w:p>
    <w:p>
      <w:pPr>
        <w:jc w:val="start"/>
        <w:bidi/>
      </w:pPr>
      <w:r>
        <w:rPr>
          <w:rFonts w:ascii="arial" w:hAnsi="arial" w:eastAsia="arial" w:cs="arial"/>
          <w:sz w:val="28"/>
          <w:szCs w:val="28"/>
          <w:b w:val="1"/>
          <w:bCs w:val="1"/>
          <w:rtl/>
        </w:rPr>
        <w:t xml:space="preserve">محمد بن هلال النحوي
</w:t>
      </w:r>
    </w:p>
    <w:p>
      <w:pPr/>
      <w:r>
        <w:rPr/>
        <w:t xml:space="preserve">محمد بن هلال النحوي محمد بن هلال النحوي: محمد بن علي، الشيخ الفاضل، شمس الدين العرضي الأصل، ثم الحلبي، المعروف بابن هلال النحوي، الشافعي. اشتغل بحلب على الشيخ محمد الداديخي، والعلاء الموصلي، فلم يبلغ مطلوبه، فارتحل إلى القاهرة، ولزم الشيخ خالد الأزهري في العربية مدة طويلة إلى أن مات الشيخ خالد. فقدم صاحب الترجمة حلب، ودرس بجامعها.</w:t>
      </w:r>
    </w:p>
    <w:p/>
    <w:p>
      <w:pPr/>
      <w:r>
        <w:rPr/>
        <w:t xml:space="preserve">وألف عدة كتب منها حاشية على تفسير القاضي البيضاوي، وحاشية على المراح وشرح على تصريف الزنجاني سماه ’’بالتطريف، على التصريف’’ ورسالة أثبت فيها أن فرعون موسى آمن إيمانا مقبولا، وهو خلاف ما عليه الناس، وغض منه ابن الحنبلي كثيرا، وقال: وكان له شعر يابس، وهجو فيه فاحش. مات يوم الأربعاء سادس عشر القعدة سنة ثلاث وثلاثين وتسعمئة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2026-07-25T23:33:16+03:00</dcterms:created>
  <dcterms:modified xsi:type="dcterms:W3CDTF">2026-07-25T23:33:16+03:00</dcterms:modified>
</cp:coreProperties>
</file>

<file path=docProps/custom.xml><?xml version="1.0" encoding="utf-8"?>
<Properties xmlns="http://schemas.openxmlformats.org/officeDocument/2006/custom-properties" xmlns:vt="http://schemas.openxmlformats.org/officeDocument/2006/docPropsVTypes"/>
</file>