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محمد بن إبراهيم المواز
</w:t>
      </w:r>
    </w:p>
    <w:p>
      <w:pPr>
        <w:jc w:val="start"/>
        <w:bidi/>
      </w:pPr>
      <w:r>
        <w:rPr>
          <w:rFonts w:ascii="arial" w:hAnsi="arial" w:eastAsia="arial" w:cs="arial"/>
          <w:sz w:val="28"/>
          <w:szCs w:val="28"/>
          <w:b w:val="1"/>
          <w:bCs w:val="1"/>
          <w:rtl/>
        </w:rPr>
        <w:t xml:space="preserve">أبو عبد الله محمد بن إبراهيم المواز
</w:t>
      </w:r>
    </w:p>
    <w:p>
      <w:pPr/>
      <w:r>
        <w:rPr/>
        <w:t xml:space="preserve">أبو عبد الله محمد بن إبراهيم المواز كان من الإسكندرية، تفقه بابن الماجشون وابن عبد الحكم واعتمد على أصبغ، وطلب في المحنة فخرج من الإسكندرية هاربا إلى الشام ولزم حصنا من حصونها حتى مات، وذلك في سنة إحدى وثمانين ومائتين، والمعول بمصر على قوله.</w:t>
      </w:r>
    </w:p>
    <w:p>
      <w:pPr>
        <w:jc w:val="start"/>
        <w:bidi/>
      </w:pPr>
      <w:r>
        <w:rPr>
          <w:sz w:val="24"/>
          <w:szCs w:val="24"/>
          <w:b w:val="1"/>
          <w:bCs w:val="1"/>
          <w:rtl/>
        </w:rPr>
        <w:t xml:space="preserve">
طبقات الفقهاء / للشيرازي،(دار الرائد العربي - بيروت،1970،ط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2026-07-27T15:32:04+03:00</dcterms:created>
  <dcterms:modified xsi:type="dcterms:W3CDTF">2026-07-27T15:32:04+03:00</dcterms:modified>
</cp:coreProperties>
</file>

<file path=docProps/custom.xml><?xml version="1.0" encoding="utf-8"?>
<Properties xmlns="http://schemas.openxmlformats.org/officeDocument/2006/custom-properties" xmlns:vt="http://schemas.openxmlformats.org/officeDocument/2006/docPropsVTypes"/>
</file>