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شقرون بن هبة الوجد يجي التلمساني
</w:t>
      </w:r>
    </w:p>
    <w:p>
      <w:pPr>
        <w:jc w:val="start"/>
        <w:bidi/>
      </w:pPr>
      <w:r>
        <w:rPr>
          <w:rFonts w:ascii="arial" w:hAnsi="arial" w:eastAsia="arial" w:cs="arial"/>
          <w:sz w:val="28"/>
          <w:szCs w:val="28"/>
          <w:b w:val="1"/>
          <w:bCs w:val="1"/>
          <w:rtl/>
        </w:rPr>
        <w:t xml:space="preserve">محمد شقرون بن هبة الوجد يجي التلمساني
</w:t>
      </w:r>
    </w:p>
    <w:p>
      <w:pPr/>
      <w:r>
        <w:rPr/>
        <w:t xml:space="preserve">محمد شقرون بن هبة الوجد يجي التلمساني المشارك المتفنن. له شرح على التلمسانية في الفرائض، وكان فقيها نوازليا، يقوم على ابن الحاجب أتم قيام، وكان عارفا بالأصلين والبيان والمنطق، وول بمراكش المحروسة توفي سنة 983</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2026-07-27T13:49:30+03:00</dcterms:created>
  <dcterms:modified xsi:type="dcterms:W3CDTF">2026-07-27T13:49:30+03:00</dcterms:modified>
</cp:coreProperties>
</file>

<file path=docProps/custom.xml><?xml version="1.0" encoding="utf-8"?>
<Properties xmlns="http://schemas.openxmlformats.org/officeDocument/2006/custom-properties" xmlns:vt="http://schemas.openxmlformats.org/officeDocument/2006/docPropsVTypes"/>
</file>