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الكريم بن أحمد الدميري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الكريم بن أحمد الدميري
</w:t>
      </w:r>
    </w:p>
    <w:p>
      <w:pPr/>
      <w:r>
        <w:rPr/>
        <w:t xml:space="preserve">محمد بن عبد الكريم بن أحمد الدميري نسبة إلى دميرة قرية من قرى مصر بالجانب الغربي</w:t>
      </w:r>
    </w:p>
    <w:p/>
    <w:p>
      <w:pPr/>
      <w:r>
        <w:rPr/>
        <w:t xml:space="preserve">أخذ عن محمد بن إبراهيم التتائي، وولى القضاء بمصر</w:t>
      </w:r>
    </w:p>
    <w:p/>
    <w:p>
      <w:pPr/>
      <w:r>
        <w:rPr/>
        <w:t xml:space="preserve">توفي في شهر ربيع الأول سنة 943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2026-07-27T11:26:37+03:00</dcterms:created>
  <dcterms:modified xsi:type="dcterms:W3CDTF">2026-07-27T11:26:37+03:00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